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ColorfulList-Accent1"/>
        <w:tblpPr w:leftFromText="180" w:rightFromText="180" w:vertAnchor="text" w:horzAnchor="margin" w:tblpY="23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2147"/>
        <w:gridCol w:w="4380"/>
        <w:gridCol w:w="1194"/>
        <w:gridCol w:w="1834"/>
        <w:gridCol w:w="3621"/>
      </w:tblGrid>
      <w:tr w:rsidR="006A0160" w:rsidRPr="00AD172A" w14:paraId="79CA7F4A" w14:textId="77777777" w:rsidTr="004A0700">
        <w:trPr>
          <w:cnfStyle w:val="100000000000" w:firstRow="1" w:lastRow="0" w:firstColumn="0" w:lastColumn="0" w:oddVBand="0" w:evenVBand="0" w:oddHBand="0" w:evenHBand="0" w:firstRowFirstColumn="0" w:firstRowLastColumn="0" w:lastRowFirstColumn="0" w:lastRowLastColumn="0"/>
          <w:trHeight w:val="437"/>
          <w:tblHeader/>
        </w:trPr>
        <w:tc>
          <w:tcPr>
            <w:cnfStyle w:val="001000000000" w:firstRow="0" w:lastRow="0" w:firstColumn="1" w:lastColumn="0" w:oddVBand="0" w:evenVBand="0" w:oddHBand="0" w:evenHBand="0" w:firstRowFirstColumn="0" w:firstRowLastColumn="0" w:lastRowFirstColumn="0" w:lastRowLastColumn="0"/>
            <w:tcW w:w="815" w:type="pct"/>
            <w:tcBorders>
              <w:bottom w:val="single" w:sz="4" w:space="0" w:color="auto"/>
            </w:tcBorders>
          </w:tcPr>
          <w:p w14:paraId="63794394" w14:textId="77777777" w:rsidR="00AD172A" w:rsidRPr="00AD172A" w:rsidRDefault="00AD172A" w:rsidP="00E26BF4">
            <w:pPr>
              <w:rPr>
                <w:rFonts w:asciiTheme="majorHAnsi" w:hAnsiTheme="majorHAnsi"/>
              </w:rPr>
            </w:pPr>
            <w:bookmarkStart w:id="0" w:name="_GoBack"/>
            <w:bookmarkEnd w:id="0"/>
            <w:r w:rsidRPr="00AD172A">
              <w:rPr>
                <w:rFonts w:asciiTheme="majorHAnsi" w:hAnsiTheme="majorHAnsi"/>
              </w:rPr>
              <w:t>Intervention</w:t>
            </w:r>
          </w:p>
        </w:tc>
        <w:tc>
          <w:tcPr>
            <w:tcW w:w="1662" w:type="pct"/>
            <w:tcBorders>
              <w:bottom w:val="single" w:sz="4" w:space="0" w:color="auto"/>
            </w:tcBorders>
          </w:tcPr>
          <w:p w14:paraId="3E226C04" w14:textId="77777777" w:rsidR="00AD172A" w:rsidRPr="00AD172A" w:rsidRDefault="00D66D7D" w:rsidP="00E26BF4">
            <w:pPr>
              <w:cnfStyle w:val="100000000000" w:firstRow="1"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Component</w:t>
            </w:r>
            <w:r w:rsidR="00AD172A" w:rsidRPr="00AD172A">
              <w:rPr>
                <w:rFonts w:asciiTheme="majorHAnsi" w:hAnsiTheme="majorHAnsi"/>
              </w:rPr>
              <w:t xml:space="preserve"> Elements</w:t>
            </w:r>
            <w:r w:rsidR="006A0160">
              <w:rPr>
                <w:rFonts w:asciiTheme="majorHAnsi" w:hAnsiTheme="majorHAnsi"/>
              </w:rPr>
              <w:t xml:space="preserve"> and Products</w:t>
            </w:r>
          </w:p>
        </w:tc>
        <w:tc>
          <w:tcPr>
            <w:tcW w:w="453" w:type="pct"/>
            <w:tcBorders>
              <w:bottom w:val="single" w:sz="4" w:space="0" w:color="auto"/>
            </w:tcBorders>
          </w:tcPr>
          <w:p w14:paraId="4996BAD5" w14:textId="77777777" w:rsidR="00AD172A" w:rsidRPr="00AD172A" w:rsidRDefault="00AD172A" w:rsidP="00E26BF4">
            <w:pPr>
              <w:cnfStyle w:val="100000000000" w:firstRow="1" w:lastRow="0" w:firstColumn="0" w:lastColumn="0" w:oddVBand="0" w:evenVBand="0" w:oddHBand="0" w:evenHBand="0" w:firstRowFirstColumn="0" w:firstRowLastColumn="0" w:lastRowFirstColumn="0" w:lastRowLastColumn="0"/>
              <w:rPr>
                <w:rFonts w:asciiTheme="majorHAnsi" w:hAnsiTheme="majorHAnsi"/>
              </w:rPr>
            </w:pPr>
            <w:r w:rsidRPr="00AD172A">
              <w:rPr>
                <w:rFonts w:asciiTheme="majorHAnsi" w:hAnsiTheme="majorHAnsi"/>
              </w:rPr>
              <w:t>Duration</w:t>
            </w:r>
            <w:r w:rsidR="0034423F">
              <w:rPr>
                <w:rStyle w:val="FootnoteReference"/>
                <w:rFonts w:asciiTheme="majorHAnsi" w:hAnsiTheme="majorHAnsi"/>
              </w:rPr>
              <w:footnoteReference w:id="1"/>
            </w:r>
          </w:p>
        </w:tc>
        <w:tc>
          <w:tcPr>
            <w:tcW w:w="696" w:type="pct"/>
            <w:tcBorders>
              <w:bottom w:val="single" w:sz="4" w:space="0" w:color="auto"/>
            </w:tcBorders>
          </w:tcPr>
          <w:p w14:paraId="368A4E01" w14:textId="6F2D7AEE" w:rsidR="00AD172A" w:rsidRPr="00AD172A" w:rsidRDefault="00AD172A" w:rsidP="00E26BF4">
            <w:pPr>
              <w:cnfStyle w:val="100000000000" w:firstRow="1" w:lastRow="0" w:firstColumn="0" w:lastColumn="0" w:oddVBand="0" w:evenVBand="0" w:oddHBand="0" w:evenHBand="0" w:firstRowFirstColumn="0" w:firstRowLastColumn="0" w:lastRowFirstColumn="0" w:lastRowLastColumn="0"/>
              <w:rPr>
                <w:rFonts w:asciiTheme="majorHAnsi" w:hAnsiTheme="majorHAnsi"/>
              </w:rPr>
            </w:pPr>
            <w:r w:rsidRPr="00AD172A">
              <w:rPr>
                <w:rFonts w:asciiTheme="majorHAnsi" w:hAnsiTheme="majorHAnsi"/>
              </w:rPr>
              <w:t>Amount</w:t>
            </w:r>
            <w:r w:rsidR="00E97965">
              <w:rPr>
                <w:rStyle w:val="FootnoteReference"/>
                <w:rFonts w:asciiTheme="majorHAnsi" w:hAnsiTheme="majorHAnsi"/>
              </w:rPr>
              <w:footnoteReference w:id="2"/>
            </w:r>
          </w:p>
        </w:tc>
        <w:tc>
          <w:tcPr>
            <w:tcW w:w="1374" w:type="pct"/>
            <w:tcBorders>
              <w:bottom w:val="single" w:sz="4" w:space="0" w:color="auto"/>
            </w:tcBorders>
          </w:tcPr>
          <w:p w14:paraId="72DF40EB" w14:textId="77777777" w:rsidR="00AD172A" w:rsidRPr="00AD172A" w:rsidRDefault="00AD172A" w:rsidP="00E26BF4">
            <w:pPr>
              <w:cnfStyle w:val="100000000000" w:firstRow="1" w:lastRow="0" w:firstColumn="0" w:lastColumn="0" w:oddVBand="0" w:evenVBand="0" w:oddHBand="0" w:evenHBand="0" w:firstRowFirstColumn="0" w:firstRowLastColumn="0" w:lastRowFirstColumn="0" w:lastRowLastColumn="0"/>
              <w:rPr>
                <w:rFonts w:asciiTheme="majorHAnsi" w:hAnsiTheme="majorHAnsi"/>
              </w:rPr>
            </w:pPr>
            <w:r w:rsidRPr="00AD172A">
              <w:rPr>
                <w:rFonts w:asciiTheme="majorHAnsi" w:hAnsiTheme="majorHAnsi"/>
              </w:rPr>
              <w:t>Description</w:t>
            </w:r>
          </w:p>
        </w:tc>
      </w:tr>
      <w:tr w:rsidR="00AD172A" w:rsidRPr="00AD172A" w14:paraId="641B50D8" w14:textId="77777777" w:rsidTr="00D13015">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D99594" w:themeFill="accent2" w:themeFillTint="99"/>
          </w:tcPr>
          <w:p w14:paraId="688226E7" w14:textId="77777777" w:rsidR="00AD172A" w:rsidRPr="00AD172A" w:rsidRDefault="00AD172A" w:rsidP="00E26BF4">
            <w:pPr>
              <w:jc w:val="center"/>
              <w:rPr>
                <w:rFonts w:asciiTheme="majorHAnsi" w:hAnsiTheme="majorHAnsi"/>
              </w:rPr>
            </w:pPr>
            <w:r w:rsidRPr="00AD172A">
              <w:rPr>
                <w:rFonts w:asciiTheme="majorHAnsi" w:hAnsiTheme="majorHAnsi"/>
              </w:rPr>
              <w:t>RUSSIA</w:t>
            </w:r>
          </w:p>
        </w:tc>
      </w:tr>
      <w:tr w:rsidR="00582FAF" w:rsidRPr="00AD172A" w14:paraId="29BF632B" w14:textId="77777777" w:rsidTr="004A0700">
        <w:tc>
          <w:tcPr>
            <w:cnfStyle w:val="001000000000" w:firstRow="0" w:lastRow="0" w:firstColumn="1" w:lastColumn="0" w:oddVBand="0" w:evenVBand="0" w:oddHBand="0" w:evenHBand="0" w:firstRowFirstColumn="0" w:firstRowLastColumn="0" w:lastRowFirstColumn="0" w:lastRowLastColumn="0"/>
            <w:tcW w:w="815" w:type="pct"/>
          </w:tcPr>
          <w:p w14:paraId="06F96203" w14:textId="77777777" w:rsidR="00582FAF" w:rsidRPr="006A0160" w:rsidRDefault="004E240B" w:rsidP="00E302DA">
            <w:hyperlink r:id="rId8" w:history="1">
              <w:r w:rsidR="00582FAF" w:rsidRPr="006A0160">
                <w:rPr>
                  <w:rStyle w:val="Hyperlink"/>
                  <w:rFonts w:asciiTheme="majorHAnsi" w:hAnsiTheme="majorHAnsi"/>
                  <w:bCs w:val="0"/>
                  <w:i/>
                </w:rPr>
                <w:t>Timishev v. Russia</w:t>
              </w:r>
            </w:hyperlink>
            <w:r w:rsidR="00582FAF" w:rsidRPr="006A0160">
              <w:rPr>
                <w:rFonts w:asciiTheme="majorHAnsi" w:hAnsiTheme="majorHAnsi"/>
              </w:rPr>
              <w:t xml:space="preserve"> </w:t>
            </w:r>
            <w:r w:rsidR="00582FAF">
              <w:rPr>
                <w:rFonts w:asciiTheme="majorHAnsi" w:hAnsiTheme="majorHAnsi"/>
                <w:b w:val="0"/>
              </w:rPr>
              <w:t xml:space="preserve">(ECtHR: </w:t>
            </w:r>
            <w:r w:rsidR="00E302DA">
              <w:rPr>
                <w:rFonts w:asciiTheme="majorHAnsi" w:hAnsiTheme="majorHAnsi"/>
                <w:b w:val="0"/>
              </w:rPr>
              <w:t>case dismissed 2013</w:t>
            </w:r>
            <w:r w:rsidR="00582FAF">
              <w:rPr>
                <w:rFonts w:asciiTheme="majorHAnsi" w:hAnsiTheme="majorHAnsi"/>
                <w:b w:val="0"/>
              </w:rPr>
              <w:t>)</w:t>
            </w:r>
          </w:p>
        </w:tc>
        <w:tc>
          <w:tcPr>
            <w:tcW w:w="1662" w:type="pct"/>
            <w:vMerge w:val="restart"/>
          </w:tcPr>
          <w:p w14:paraId="40155910" w14:textId="3EFB6279" w:rsidR="005C74FA" w:rsidRPr="00D66D7D" w:rsidRDefault="005C74FA" w:rsidP="005C74FA">
            <w:pPr>
              <w:cnfStyle w:val="000000000000" w:firstRow="0" w:lastRow="0" w:firstColumn="0" w:lastColumn="0" w:oddVBand="0" w:evenVBand="0" w:oddHBand="0" w:evenHBand="0" w:firstRowFirstColumn="0" w:firstRowLastColumn="0" w:lastRowFirstColumn="0" w:lastRowLastColumn="0"/>
              <w:rPr>
                <w:rFonts w:asciiTheme="majorHAnsi" w:hAnsiTheme="majorHAnsi"/>
                <w:b/>
              </w:rPr>
            </w:pPr>
            <w:r>
              <w:rPr>
                <w:rFonts w:asciiTheme="majorHAnsi" w:hAnsiTheme="majorHAnsi"/>
                <w:b/>
              </w:rPr>
              <w:t xml:space="preserve">Organizational </w:t>
            </w:r>
            <w:r w:rsidR="004B2D8F">
              <w:rPr>
                <w:rFonts w:asciiTheme="majorHAnsi" w:hAnsiTheme="majorHAnsi"/>
                <w:b/>
              </w:rPr>
              <w:t xml:space="preserve">and individual </w:t>
            </w:r>
            <w:r>
              <w:rPr>
                <w:rFonts w:asciiTheme="majorHAnsi" w:hAnsiTheme="majorHAnsi"/>
                <w:b/>
              </w:rPr>
              <w:t>consultancies</w:t>
            </w:r>
          </w:p>
          <w:p w14:paraId="2AC71BC5" w14:textId="028A0229" w:rsidR="005C74FA" w:rsidRDefault="005C74FA" w:rsidP="005C74FA">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 xml:space="preserve">Lamberth Consulting: </w:t>
            </w:r>
            <w:r w:rsidRPr="0088464E">
              <w:rPr>
                <w:rFonts w:asciiTheme="majorHAnsi" w:hAnsiTheme="majorHAnsi"/>
              </w:rPr>
              <w:t xml:space="preserve">70001153 </w:t>
            </w:r>
            <w:r>
              <w:rPr>
                <w:rFonts w:asciiTheme="majorHAnsi" w:hAnsiTheme="majorHAnsi"/>
              </w:rPr>
              <w:t>(2008, $</w:t>
            </w:r>
            <w:r w:rsidR="004B2D8F">
              <w:rPr>
                <w:rFonts w:asciiTheme="majorHAnsi" w:hAnsiTheme="majorHAnsi"/>
              </w:rPr>
              <w:t>9</w:t>
            </w:r>
            <w:r>
              <w:rPr>
                <w:rFonts w:asciiTheme="majorHAnsi" w:hAnsiTheme="majorHAnsi"/>
              </w:rPr>
              <w:t>,000)</w:t>
            </w:r>
          </w:p>
          <w:p w14:paraId="71E5D2B0" w14:textId="5789B85C" w:rsidR="00582FAF" w:rsidRDefault="00582FAF"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Eduard Kurilovic</w:t>
            </w:r>
            <w:r w:rsidR="00C42B04">
              <w:rPr>
                <w:rFonts w:asciiTheme="majorHAnsi" w:hAnsiTheme="majorHAnsi"/>
              </w:rPr>
              <w:t>h</w:t>
            </w:r>
            <w:r w:rsidR="00067A7A">
              <w:rPr>
                <w:rFonts w:asciiTheme="majorHAnsi" w:hAnsiTheme="majorHAnsi"/>
              </w:rPr>
              <w:t xml:space="preserve"> </w:t>
            </w:r>
            <w:r>
              <w:rPr>
                <w:rFonts w:asciiTheme="majorHAnsi" w:hAnsiTheme="majorHAnsi"/>
              </w:rPr>
              <w:t>(interpretation and translation, client liaison)</w:t>
            </w:r>
            <w:r w:rsidR="00750FAC">
              <w:rPr>
                <w:rFonts w:asciiTheme="majorHAnsi" w:hAnsiTheme="majorHAnsi"/>
              </w:rPr>
              <w:t xml:space="preserve">: </w:t>
            </w:r>
            <w:r w:rsidR="00750FAC" w:rsidRPr="00750FAC">
              <w:rPr>
                <w:rFonts w:asciiTheme="majorHAnsi" w:hAnsiTheme="majorHAnsi"/>
              </w:rPr>
              <w:t>60007152</w:t>
            </w:r>
            <w:r w:rsidR="006579BD">
              <w:rPr>
                <w:rFonts w:asciiTheme="majorHAnsi" w:hAnsiTheme="majorHAnsi"/>
              </w:rPr>
              <w:t xml:space="preserve"> (2011-present)</w:t>
            </w:r>
          </w:p>
          <w:p w14:paraId="18D0AFC3" w14:textId="77777777" w:rsidR="00D66D7D" w:rsidRDefault="00D66D7D"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18F38F34" w14:textId="77777777" w:rsidR="00826EBE" w:rsidRDefault="00826EBE"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b/>
              </w:rPr>
            </w:pPr>
            <w:r>
              <w:rPr>
                <w:rFonts w:asciiTheme="majorHAnsi" w:hAnsiTheme="majorHAnsi"/>
                <w:b/>
              </w:rPr>
              <w:t>Fellowship</w:t>
            </w:r>
          </w:p>
          <w:p w14:paraId="52C97CAE" w14:textId="77777777" w:rsidR="00826EBE" w:rsidRDefault="00826EBE"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Russia Antidiscrimination Fellowship (2006, $30,000)</w:t>
            </w:r>
          </w:p>
          <w:p w14:paraId="16C1014B" w14:textId="77777777" w:rsidR="00826EBE" w:rsidRPr="00826EBE" w:rsidRDefault="00826EBE"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055B6B2C" w14:textId="77777777" w:rsidR="00D66D7D" w:rsidRPr="00D66D7D" w:rsidRDefault="00D66D7D"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b/>
              </w:rPr>
            </w:pPr>
            <w:r>
              <w:rPr>
                <w:rFonts w:asciiTheme="majorHAnsi" w:hAnsiTheme="majorHAnsi"/>
                <w:b/>
              </w:rPr>
              <w:t>Grants</w:t>
            </w:r>
          </w:p>
          <w:p w14:paraId="1F2B310E" w14:textId="0901E046" w:rsidR="003C1D3A" w:rsidRDefault="00816920"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 xml:space="preserve">ADC </w:t>
            </w:r>
            <w:r w:rsidR="00582FAF">
              <w:rPr>
                <w:rFonts w:asciiTheme="majorHAnsi" w:hAnsiTheme="majorHAnsi"/>
              </w:rPr>
              <w:t>Memorial</w:t>
            </w:r>
            <w:r>
              <w:rPr>
                <w:rFonts w:asciiTheme="majorHAnsi" w:hAnsiTheme="majorHAnsi"/>
              </w:rPr>
              <w:t xml:space="preserve"> 2010</w:t>
            </w:r>
            <w:r w:rsidR="005D59EE">
              <w:rPr>
                <w:rFonts w:asciiTheme="majorHAnsi" w:hAnsiTheme="majorHAnsi"/>
              </w:rPr>
              <w:t xml:space="preserve">: </w:t>
            </w:r>
            <w:hyperlink r:id="rId9" w:history="1">
              <w:r w:rsidR="00CD5BCB" w:rsidRPr="00CD5BCB">
                <w:rPr>
                  <w:rStyle w:val="Hyperlink"/>
                  <w:rFonts w:asciiTheme="majorHAnsi" w:hAnsiTheme="majorHAnsi"/>
                </w:rPr>
                <w:t>OR2010-29537</w:t>
              </w:r>
            </w:hyperlink>
            <w:r w:rsidR="00CD5BCB">
              <w:rPr>
                <w:rFonts w:asciiTheme="majorHAnsi" w:hAnsiTheme="majorHAnsi"/>
              </w:rPr>
              <w:t xml:space="preserve"> </w:t>
            </w:r>
            <w:r w:rsidR="00C42B04">
              <w:rPr>
                <w:rFonts w:asciiTheme="majorHAnsi" w:hAnsiTheme="majorHAnsi"/>
              </w:rPr>
              <w:t>(</w:t>
            </w:r>
            <w:r w:rsidR="005D59EE">
              <w:rPr>
                <w:rFonts w:asciiTheme="majorHAnsi" w:hAnsiTheme="majorHAnsi"/>
              </w:rPr>
              <w:t>$16,415</w:t>
            </w:r>
            <w:r w:rsidR="00C42B04">
              <w:rPr>
                <w:rFonts w:asciiTheme="majorHAnsi" w:hAnsiTheme="majorHAnsi"/>
              </w:rPr>
              <w:t>)</w:t>
            </w:r>
            <w:r w:rsidR="005D59EE">
              <w:rPr>
                <w:rFonts w:asciiTheme="majorHAnsi" w:hAnsiTheme="majorHAnsi"/>
              </w:rPr>
              <w:t xml:space="preserve"> (matched by Russia Program)</w:t>
            </w:r>
          </w:p>
          <w:p w14:paraId="18970118" w14:textId="77777777" w:rsidR="00C42B04" w:rsidRDefault="00C42B04"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115067E7" w14:textId="77777777" w:rsidR="00D66D7D" w:rsidRPr="00D66D7D" w:rsidRDefault="00D66D7D"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b/>
              </w:rPr>
            </w:pPr>
            <w:r>
              <w:rPr>
                <w:rFonts w:asciiTheme="majorHAnsi" w:hAnsiTheme="majorHAnsi"/>
                <w:b/>
              </w:rPr>
              <w:t>Events</w:t>
            </w:r>
          </w:p>
          <w:p w14:paraId="54AED1BF" w14:textId="4335B827" w:rsidR="00B43E78" w:rsidRPr="00AD172A" w:rsidRDefault="004E240B" w:rsidP="003C1D3A">
            <w:pPr>
              <w:cnfStyle w:val="000000000000" w:firstRow="0" w:lastRow="0" w:firstColumn="0" w:lastColumn="0" w:oddVBand="0" w:evenVBand="0" w:oddHBand="0" w:evenHBand="0" w:firstRowFirstColumn="0" w:firstRowLastColumn="0" w:lastRowFirstColumn="0" w:lastRowLastColumn="0"/>
              <w:rPr>
                <w:rFonts w:asciiTheme="majorHAnsi" w:hAnsiTheme="majorHAnsi"/>
              </w:rPr>
            </w:pPr>
            <w:hyperlink r:id="rId10" w:history="1">
              <w:r w:rsidR="003C1D3A" w:rsidRPr="003C1D3A">
                <w:rPr>
                  <w:rStyle w:val="Hyperlink"/>
                  <w:rFonts w:asciiTheme="majorHAnsi" w:hAnsiTheme="majorHAnsi"/>
                </w:rPr>
                <w:t xml:space="preserve">Combatting Discrimination in Russia: Strategies for </w:t>
              </w:r>
              <w:r w:rsidR="003C1D3A">
                <w:rPr>
                  <w:rStyle w:val="Hyperlink"/>
                  <w:rFonts w:asciiTheme="majorHAnsi" w:hAnsiTheme="majorHAnsi"/>
                </w:rPr>
                <w:t>Lawyers and NGO</w:t>
              </w:r>
              <w:r w:rsidR="003C1D3A" w:rsidRPr="003C1D3A">
                <w:rPr>
                  <w:rStyle w:val="Hyperlink"/>
                  <w:rFonts w:asciiTheme="majorHAnsi" w:hAnsiTheme="majorHAnsi"/>
                </w:rPr>
                <w:t>s</w:t>
              </w:r>
            </w:hyperlink>
            <w:r w:rsidR="003C1D3A">
              <w:rPr>
                <w:rFonts w:asciiTheme="majorHAnsi" w:hAnsiTheme="majorHAnsi"/>
              </w:rPr>
              <w:t xml:space="preserve"> (Conference and Report, 2003)</w:t>
            </w:r>
          </w:p>
        </w:tc>
        <w:tc>
          <w:tcPr>
            <w:tcW w:w="453" w:type="pct"/>
            <w:vMerge w:val="restart"/>
          </w:tcPr>
          <w:p w14:paraId="51B17B81" w14:textId="77777777" w:rsidR="00582FAF" w:rsidRPr="00AD172A" w:rsidRDefault="00582FAF"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2003-present</w:t>
            </w:r>
          </w:p>
        </w:tc>
        <w:tc>
          <w:tcPr>
            <w:tcW w:w="696" w:type="pct"/>
            <w:vMerge w:val="restart"/>
          </w:tcPr>
          <w:p w14:paraId="20DBEC04" w14:textId="4543F6FE" w:rsidR="00582FAF" w:rsidRDefault="00582FAF"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2005: $80,200</w:t>
            </w:r>
            <w:r w:rsidR="00C42B04">
              <w:rPr>
                <w:rStyle w:val="FootnoteReference"/>
                <w:rFonts w:asciiTheme="majorHAnsi" w:hAnsiTheme="majorHAnsi"/>
              </w:rPr>
              <w:footnoteReference w:id="3"/>
            </w:r>
          </w:p>
          <w:p w14:paraId="28F88452" w14:textId="4BD8550F" w:rsidR="00826EBE" w:rsidRDefault="00DB7E36" w:rsidP="00140600">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2006:</w:t>
            </w:r>
            <w:r w:rsidR="005B066D">
              <w:rPr>
                <w:rFonts w:asciiTheme="majorHAnsi" w:hAnsiTheme="majorHAnsi"/>
              </w:rPr>
              <w:t xml:space="preserve"> </w:t>
            </w:r>
            <w:r w:rsidR="00140600">
              <w:rPr>
                <w:rFonts w:asciiTheme="majorHAnsi" w:hAnsiTheme="majorHAnsi"/>
              </w:rPr>
              <w:t>$59,514</w:t>
            </w:r>
          </w:p>
          <w:p w14:paraId="4C886A21" w14:textId="4BB916A4" w:rsidR="00DB7E36" w:rsidRDefault="00DB7E36"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2008:</w:t>
            </w:r>
            <w:r w:rsidR="00622C39">
              <w:rPr>
                <w:rFonts w:asciiTheme="majorHAnsi" w:hAnsiTheme="majorHAnsi"/>
              </w:rPr>
              <w:t xml:space="preserve"> $9,000 </w:t>
            </w:r>
          </w:p>
          <w:p w14:paraId="28448617" w14:textId="0067B74A" w:rsidR="00DB7E36" w:rsidRDefault="00DB7E36"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2010:</w:t>
            </w:r>
            <w:r w:rsidR="005D59EE">
              <w:rPr>
                <w:rFonts w:asciiTheme="majorHAnsi" w:hAnsiTheme="majorHAnsi"/>
              </w:rPr>
              <w:t xml:space="preserve"> $16,415</w:t>
            </w:r>
          </w:p>
          <w:p w14:paraId="43B7759F" w14:textId="70283B1C" w:rsidR="006D5FC1" w:rsidRDefault="006D5FC1"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2011: $6,300</w:t>
            </w:r>
          </w:p>
          <w:p w14:paraId="03B6728D" w14:textId="09553CC1" w:rsidR="00C42B04" w:rsidRDefault="00C42B04"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2012: $250</w:t>
            </w:r>
          </w:p>
          <w:p w14:paraId="67D8E43D" w14:textId="25EF4C7B" w:rsidR="00DB7E36" w:rsidRDefault="00DB7E36"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2013:</w:t>
            </w:r>
            <w:r w:rsidR="006579BD">
              <w:rPr>
                <w:rFonts w:asciiTheme="majorHAnsi" w:hAnsiTheme="majorHAnsi"/>
              </w:rPr>
              <w:t xml:space="preserve"> $</w:t>
            </w:r>
            <w:r w:rsidR="0067596C">
              <w:rPr>
                <w:rFonts w:asciiTheme="majorHAnsi" w:hAnsiTheme="majorHAnsi"/>
              </w:rPr>
              <w:t>1,121</w:t>
            </w:r>
          </w:p>
          <w:p w14:paraId="1E87CFFB" w14:textId="269668E0" w:rsidR="00DB7E36" w:rsidRDefault="00DB7E36"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2014:</w:t>
            </w:r>
            <w:r w:rsidR="00624B51">
              <w:rPr>
                <w:rFonts w:asciiTheme="majorHAnsi" w:hAnsiTheme="majorHAnsi"/>
              </w:rPr>
              <w:t xml:space="preserve"> $1,750</w:t>
            </w:r>
          </w:p>
          <w:p w14:paraId="5B429E42" w14:textId="77777777" w:rsidR="002432DE" w:rsidRDefault="002432DE"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18740DE3" w14:textId="77777777" w:rsidR="002432DE" w:rsidRDefault="002432DE"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374572AA" w14:textId="77777777" w:rsidR="002432DE" w:rsidRDefault="002432DE"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7E4CBC3F" w14:textId="77777777" w:rsidR="002432DE" w:rsidRDefault="002432DE"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7789D3F0" w14:textId="77777777" w:rsidR="002432DE" w:rsidRDefault="002432DE"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03817DD8" w14:textId="77777777" w:rsidR="004B2D8F" w:rsidRDefault="004B2D8F"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19C57BA0" w14:textId="77777777" w:rsidR="004B2D8F" w:rsidRDefault="004B2D8F"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48245D6A" w14:textId="77777777" w:rsidR="004B2D8F" w:rsidRDefault="004B2D8F"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70D1D0D2" w14:textId="77777777" w:rsidR="00B17B2B" w:rsidRDefault="00B17B2B"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2A193543" w14:textId="77777777" w:rsidR="00624B51" w:rsidRDefault="00624B51"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25BE2E28" w14:textId="77777777" w:rsidR="002432DE" w:rsidRPr="00624B51" w:rsidRDefault="002432DE" w:rsidP="00624B51">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b/>
                <w:i/>
              </w:rPr>
            </w:pPr>
            <w:r w:rsidRPr="00624B51">
              <w:rPr>
                <w:rFonts w:asciiTheme="majorHAnsi" w:hAnsiTheme="majorHAnsi"/>
                <w:b/>
                <w:i/>
              </w:rPr>
              <w:t>Sub-total:</w:t>
            </w:r>
          </w:p>
          <w:p w14:paraId="06B8E7BB" w14:textId="599C27D3" w:rsidR="002432DE" w:rsidRPr="002432DE" w:rsidRDefault="00C42B04" w:rsidP="00624B51">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b/>
              </w:rPr>
            </w:pPr>
            <w:r>
              <w:rPr>
                <w:rFonts w:asciiTheme="majorHAnsi" w:hAnsiTheme="majorHAnsi"/>
                <w:b/>
                <w:i/>
              </w:rPr>
              <w:t>$174,55</w:t>
            </w:r>
            <w:r w:rsidR="00624B51" w:rsidRPr="00624B51">
              <w:rPr>
                <w:rFonts w:asciiTheme="majorHAnsi" w:hAnsiTheme="majorHAnsi"/>
                <w:b/>
                <w:i/>
              </w:rPr>
              <w:t>0</w:t>
            </w:r>
          </w:p>
        </w:tc>
        <w:tc>
          <w:tcPr>
            <w:tcW w:w="1374" w:type="pct"/>
            <w:vMerge w:val="restart"/>
          </w:tcPr>
          <w:p w14:paraId="7E9EB62A" w14:textId="14D3BEC9" w:rsidR="00582FAF" w:rsidRPr="00AD172A" w:rsidRDefault="00DF4215"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Beginning in 2003, the Justice Initiative built cases to challenge a range of discriminatory practices, from forced evictions of Roma communities t</w:t>
            </w:r>
            <w:r w:rsidR="00C42B04">
              <w:rPr>
                <w:rFonts w:asciiTheme="majorHAnsi" w:hAnsiTheme="majorHAnsi"/>
              </w:rPr>
              <w:t xml:space="preserve">o ethnic profiling and racially </w:t>
            </w:r>
            <w:r>
              <w:rPr>
                <w:rFonts w:asciiTheme="majorHAnsi" w:hAnsiTheme="majorHAnsi"/>
              </w:rPr>
              <w:t>driven police beatings. The project was designed to encourage NGOs and Russian lawyers to engage courts, both domestic and international, as tools in combating discrimination.</w:t>
            </w:r>
          </w:p>
        </w:tc>
      </w:tr>
      <w:tr w:rsidR="00582FAF" w:rsidRPr="00AD172A" w14:paraId="7D196AB3" w14:textId="77777777" w:rsidTr="004A0700">
        <w:tc>
          <w:tcPr>
            <w:cnfStyle w:val="001000000000" w:firstRow="0" w:lastRow="0" w:firstColumn="1" w:lastColumn="0" w:oddVBand="0" w:evenVBand="0" w:oddHBand="0" w:evenHBand="0" w:firstRowFirstColumn="0" w:firstRowLastColumn="0" w:lastRowFirstColumn="0" w:lastRowLastColumn="0"/>
            <w:tcW w:w="815" w:type="pct"/>
          </w:tcPr>
          <w:p w14:paraId="2E4C307B" w14:textId="0BFD88C1" w:rsidR="00582FAF" w:rsidRPr="00582FAF" w:rsidRDefault="004E240B" w:rsidP="00E302DA">
            <w:pPr>
              <w:rPr>
                <w:rFonts w:asciiTheme="majorHAnsi" w:hAnsiTheme="majorHAnsi"/>
                <w:b w:val="0"/>
              </w:rPr>
            </w:pPr>
            <w:hyperlink r:id="rId11" w:history="1">
              <w:r w:rsidR="00582FAF" w:rsidRPr="00582FAF">
                <w:rPr>
                  <w:rStyle w:val="Hyperlink"/>
                  <w:rFonts w:asciiTheme="majorHAnsi" w:hAnsiTheme="majorHAnsi"/>
                  <w:bCs w:val="0"/>
                  <w:i/>
                </w:rPr>
                <w:t>Mak</w:t>
              </w:r>
              <w:r w:rsidR="003641EE">
                <w:rPr>
                  <w:rStyle w:val="Hyperlink"/>
                  <w:rFonts w:asciiTheme="majorHAnsi" w:hAnsiTheme="majorHAnsi"/>
                  <w:bCs w:val="0"/>
                  <w:i/>
                </w:rPr>
                <w:t>h</w:t>
              </w:r>
              <w:r w:rsidR="00582FAF" w:rsidRPr="00582FAF">
                <w:rPr>
                  <w:rStyle w:val="Hyperlink"/>
                  <w:rFonts w:asciiTheme="majorHAnsi" w:hAnsiTheme="majorHAnsi"/>
                  <w:bCs w:val="0"/>
                  <w:i/>
                </w:rPr>
                <w:t>ashev v. Russia</w:t>
              </w:r>
            </w:hyperlink>
            <w:r w:rsidR="00582FAF">
              <w:rPr>
                <w:rFonts w:asciiTheme="majorHAnsi" w:hAnsiTheme="majorHAnsi"/>
                <w:i/>
              </w:rPr>
              <w:t xml:space="preserve"> </w:t>
            </w:r>
            <w:r w:rsidR="00582FAF">
              <w:rPr>
                <w:rFonts w:asciiTheme="majorHAnsi" w:hAnsiTheme="majorHAnsi"/>
                <w:b w:val="0"/>
              </w:rPr>
              <w:t>(ECtHR: judgment</w:t>
            </w:r>
            <w:r w:rsidR="00E302DA">
              <w:rPr>
                <w:rFonts w:asciiTheme="majorHAnsi" w:hAnsiTheme="majorHAnsi"/>
                <w:b w:val="0"/>
              </w:rPr>
              <w:t xml:space="preserve"> 2012</w:t>
            </w:r>
            <w:r w:rsidR="00582FAF">
              <w:rPr>
                <w:rFonts w:asciiTheme="majorHAnsi" w:hAnsiTheme="majorHAnsi"/>
                <w:b w:val="0"/>
              </w:rPr>
              <w:t>)</w:t>
            </w:r>
          </w:p>
        </w:tc>
        <w:tc>
          <w:tcPr>
            <w:tcW w:w="1662" w:type="pct"/>
            <w:vMerge/>
          </w:tcPr>
          <w:p w14:paraId="3BEC9994" w14:textId="77777777" w:rsidR="00582FAF" w:rsidRPr="00AD172A" w:rsidRDefault="00582FAF"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453" w:type="pct"/>
            <w:vMerge/>
          </w:tcPr>
          <w:p w14:paraId="7ECC93C2" w14:textId="77777777" w:rsidR="00582FAF" w:rsidRPr="00AD172A" w:rsidRDefault="00582FAF"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696" w:type="pct"/>
            <w:vMerge/>
          </w:tcPr>
          <w:p w14:paraId="094D873F" w14:textId="77777777" w:rsidR="00582FAF" w:rsidRPr="00AD172A" w:rsidRDefault="00582FAF"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1374" w:type="pct"/>
            <w:vMerge/>
          </w:tcPr>
          <w:p w14:paraId="7E4A2279" w14:textId="77777777" w:rsidR="00582FAF" w:rsidRPr="00AD172A" w:rsidRDefault="00582FAF"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r>
      <w:tr w:rsidR="00582FAF" w:rsidRPr="00AD172A" w14:paraId="3395C53A" w14:textId="77777777" w:rsidTr="004A0700">
        <w:tc>
          <w:tcPr>
            <w:cnfStyle w:val="001000000000" w:firstRow="0" w:lastRow="0" w:firstColumn="1" w:lastColumn="0" w:oddVBand="0" w:evenVBand="0" w:oddHBand="0" w:evenHBand="0" w:firstRowFirstColumn="0" w:firstRowLastColumn="0" w:lastRowFirstColumn="0" w:lastRowLastColumn="0"/>
            <w:tcW w:w="815" w:type="pct"/>
          </w:tcPr>
          <w:p w14:paraId="531F40D9" w14:textId="77777777" w:rsidR="00582FAF" w:rsidRPr="00582FAF" w:rsidRDefault="004E240B" w:rsidP="00E26BF4">
            <w:pPr>
              <w:rPr>
                <w:rFonts w:asciiTheme="majorHAnsi" w:hAnsiTheme="majorHAnsi"/>
                <w:b w:val="0"/>
              </w:rPr>
            </w:pPr>
            <w:hyperlink r:id="rId12" w:history="1">
              <w:r w:rsidR="00582FAF" w:rsidRPr="00582FAF">
                <w:rPr>
                  <w:rStyle w:val="Hyperlink"/>
                  <w:rFonts w:asciiTheme="majorHAnsi" w:hAnsiTheme="majorHAnsi"/>
                  <w:bCs w:val="0"/>
                  <w:i/>
                </w:rPr>
                <w:t>Mi</w:t>
              </w:r>
              <w:r w:rsidR="00E302DA">
                <w:rPr>
                  <w:rStyle w:val="Hyperlink"/>
                  <w:rFonts w:asciiTheme="majorHAnsi" w:hAnsiTheme="majorHAnsi"/>
                  <w:bCs w:val="0"/>
                  <w:i/>
                </w:rPr>
                <w:t>k</w:t>
              </w:r>
              <w:r w:rsidR="00582FAF" w:rsidRPr="00582FAF">
                <w:rPr>
                  <w:rStyle w:val="Hyperlink"/>
                  <w:rFonts w:asciiTheme="majorHAnsi" w:hAnsiTheme="majorHAnsi"/>
                  <w:bCs w:val="0"/>
                  <w:i/>
                </w:rPr>
                <w:t>haj v. Russia</w:t>
              </w:r>
            </w:hyperlink>
            <w:r w:rsidR="00582FAF">
              <w:rPr>
                <w:rFonts w:asciiTheme="majorHAnsi" w:hAnsiTheme="majorHAnsi"/>
                <w:i/>
              </w:rPr>
              <w:t xml:space="preserve"> </w:t>
            </w:r>
            <w:r w:rsidR="00582FAF">
              <w:rPr>
                <w:rFonts w:asciiTheme="majorHAnsi" w:hAnsiTheme="majorHAnsi"/>
                <w:b w:val="0"/>
              </w:rPr>
              <w:t xml:space="preserve">(ECtHR: declared inadmissible </w:t>
            </w:r>
            <w:r w:rsidR="00582FAF" w:rsidRPr="00E302DA">
              <w:rPr>
                <w:rFonts w:asciiTheme="majorHAnsi" w:hAnsiTheme="majorHAnsi"/>
                <w:b w:val="0"/>
              </w:rPr>
              <w:t>2012</w:t>
            </w:r>
            <w:r w:rsidR="00582FAF">
              <w:rPr>
                <w:rFonts w:asciiTheme="majorHAnsi" w:hAnsiTheme="majorHAnsi"/>
                <w:b w:val="0"/>
              </w:rPr>
              <w:t>)</w:t>
            </w:r>
          </w:p>
        </w:tc>
        <w:tc>
          <w:tcPr>
            <w:tcW w:w="1662" w:type="pct"/>
            <w:vMerge/>
          </w:tcPr>
          <w:p w14:paraId="7107AD5B" w14:textId="77777777" w:rsidR="00582FAF" w:rsidRPr="00AD172A" w:rsidRDefault="00582FAF"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453" w:type="pct"/>
            <w:vMerge/>
          </w:tcPr>
          <w:p w14:paraId="4E9264CF" w14:textId="77777777" w:rsidR="00582FAF" w:rsidRPr="00AD172A" w:rsidRDefault="00582FAF"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696" w:type="pct"/>
            <w:vMerge/>
          </w:tcPr>
          <w:p w14:paraId="613230A4" w14:textId="77777777" w:rsidR="00582FAF" w:rsidRPr="00AD172A" w:rsidRDefault="00582FAF"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1374" w:type="pct"/>
            <w:vMerge/>
          </w:tcPr>
          <w:p w14:paraId="5D80DC71" w14:textId="77777777" w:rsidR="00582FAF" w:rsidRPr="00AD172A" w:rsidRDefault="00582FAF"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r>
      <w:tr w:rsidR="00582FAF" w:rsidRPr="00AD172A" w14:paraId="528A942F" w14:textId="77777777" w:rsidTr="004A0700">
        <w:tc>
          <w:tcPr>
            <w:cnfStyle w:val="001000000000" w:firstRow="0" w:lastRow="0" w:firstColumn="1" w:lastColumn="0" w:oddVBand="0" w:evenVBand="0" w:oddHBand="0" w:evenHBand="0" w:firstRowFirstColumn="0" w:firstRowLastColumn="0" w:lastRowFirstColumn="0" w:lastRowLastColumn="0"/>
            <w:tcW w:w="815" w:type="pct"/>
          </w:tcPr>
          <w:p w14:paraId="13BC044F" w14:textId="77777777" w:rsidR="00582FAF" w:rsidRPr="006A0160" w:rsidRDefault="004E240B" w:rsidP="00582FAF">
            <w:pPr>
              <w:rPr>
                <w:rFonts w:asciiTheme="majorHAnsi" w:hAnsiTheme="majorHAnsi"/>
                <w:b w:val="0"/>
              </w:rPr>
            </w:pPr>
            <w:hyperlink r:id="rId13" w:history="1">
              <w:r w:rsidR="00582FAF" w:rsidRPr="006A0160">
                <w:rPr>
                  <w:rStyle w:val="Hyperlink"/>
                  <w:rFonts w:asciiTheme="majorHAnsi" w:hAnsiTheme="majorHAnsi"/>
                  <w:bCs w:val="0"/>
                  <w:i/>
                </w:rPr>
                <w:t>Bagdonavichus v. Russia</w:t>
              </w:r>
            </w:hyperlink>
            <w:r w:rsidR="00582FAF" w:rsidRPr="006A0160">
              <w:rPr>
                <w:rFonts w:asciiTheme="majorHAnsi" w:hAnsiTheme="majorHAnsi"/>
                <w:i/>
              </w:rPr>
              <w:t xml:space="preserve"> </w:t>
            </w:r>
            <w:r w:rsidR="00582FAF">
              <w:rPr>
                <w:rFonts w:asciiTheme="majorHAnsi" w:hAnsiTheme="majorHAnsi"/>
                <w:b w:val="0"/>
              </w:rPr>
              <w:t>(ECtHR: filed 2006, judgment pending)</w:t>
            </w:r>
          </w:p>
        </w:tc>
        <w:tc>
          <w:tcPr>
            <w:tcW w:w="1662" w:type="pct"/>
            <w:vMerge/>
          </w:tcPr>
          <w:p w14:paraId="2EFE140E" w14:textId="77777777" w:rsidR="00582FAF" w:rsidRPr="00AD172A" w:rsidRDefault="00582FAF"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453" w:type="pct"/>
            <w:vMerge/>
          </w:tcPr>
          <w:p w14:paraId="64543041" w14:textId="77777777" w:rsidR="00582FAF" w:rsidRPr="00AD172A" w:rsidRDefault="00582FAF"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696" w:type="pct"/>
            <w:vMerge/>
          </w:tcPr>
          <w:p w14:paraId="0CCC1F48" w14:textId="77777777" w:rsidR="00582FAF" w:rsidRPr="00AD172A" w:rsidRDefault="00582FAF"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1374" w:type="pct"/>
            <w:vMerge/>
          </w:tcPr>
          <w:p w14:paraId="0DD8D5B1" w14:textId="77777777" w:rsidR="00582FAF" w:rsidRPr="00AD172A" w:rsidRDefault="00582FAF"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r>
      <w:tr w:rsidR="00582FAF" w:rsidRPr="00AD172A" w14:paraId="05919D61" w14:textId="77777777" w:rsidTr="004A0700">
        <w:tc>
          <w:tcPr>
            <w:cnfStyle w:val="001000000000" w:firstRow="0" w:lastRow="0" w:firstColumn="1" w:lastColumn="0" w:oddVBand="0" w:evenVBand="0" w:oddHBand="0" w:evenHBand="0" w:firstRowFirstColumn="0" w:firstRowLastColumn="0" w:lastRowFirstColumn="0" w:lastRowLastColumn="0"/>
            <w:tcW w:w="815" w:type="pct"/>
          </w:tcPr>
          <w:p w14:paraId="2963A159" w14:textId="77777777" w:rsidR="00582FAF" w:rsidRPr="00212D74" w:rsidRDefault="004E240B" w:rsidP="00E26BF4">
            <w:pPr>
              <w:rPr>
                <w:rFonts w:asciiTheme="majorHAnsi" w:hAnsiTheme="majorHAnsi"/>
                <w:b w:val="0"/>
              </w:rPr>
            </w:pPr>
            <w:hyperlink r:id="rId14" w:history="1">
              <w:r w:rsidR="00582FAF" w:rsidRPr="00582FAF">
                <w:rPr>
                  <w:rStyle w:val="Hyperlink"/>
                  <w:rFonts w:asciiTheme="majorHAnsi" w:hAnsiTheme="majorHAnsi"/>
                  <w:b w:val="0"/>
                  <w:bCs w:val="0"/>
                </w:rPr>
                <w:t>Ethnic Profiling in the Moscow Metro</w:t>
              </w:r>
            </w:hyperlink>
            <w:r w:rsidR="00212D74">
              <w:rPr>
                <w:rStyle w:val="Hyperlink"/>
                <w:rFonts w:asciiTheme="majorHAnsi" w:hAnsiTheme="majorHAnsi"/>
                <w:b w:val="0"/>
                <w:u w:val="none"/>
              </w:rPr>
              <w:t xml:space="preserve"> </w:t>
            </w:r>
            <w:r w:rsidR="00212D74" w:rsidRPr="00212D74">
              <w:rPr>
                <w:rStyle w:val="Hyperlink"/>
                <w:rFonts w:asciiTheme="majorHAnsi" w:hAnsiTheme="majorHAnsi"/>
                <w:b w:val="0"/>
                <w:color w:val="auto"/>
                <w:u w:val="none"/>
              </w:rPr>
              <w:lastRenderedPageBreak/>
              <w:t>(Report</w:t>
            </w:r>
            <w:r w:rsidR="00212D74">
              <w:rPr>
                <w:rStyle w:val="Hyperlink"/>
                <w:rFonts w:asciiTheme="majorHAnsi" w:hAnsiTheme="majorHAnsi"/>
                <w:b w:val="0"/>
                <w:color w:val="auto"/>
                <w:u w:val="none"/>
              </w:rPr>
              <w:t>, 2006)</w:t>
            </w:r>
          </w:p>
        </w:tc>
        <w:tc>
          <w:tcPr>
            <w:tcW w:w="1662" w:type="pct"/>
          </w:tcPr>
          <w:p w14:paraId="6E3197BD" w14:textId="77777777" w:rsidR="00D66D7D" w:rsidRPr="00D66D7D" w:rsidRDefault="00D66D7D"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b/>
              </w:rPr>
            </w:pPr>
            <w:r>
              <w:rPr>
                <w:rFonts w:asciiTheme="majorHAnsi" w:hAnsiTheme="majorHAnsi"/>
                <w:b/>
              </w:rPr>
              <w:lastRenderedPageBreak/>
              <w:t>Organizational consultancies</w:t>
            </w:r>
          </w:p>
          <w:p w14:paraId="64D8B3B0" w14:textId="5C887F9B" w:rsidR="00582FAF" w:rsidRPr="00AD172A" w:rsidRDefault="00582FAF" w:rsidP="004B2D8F">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Lamberth Consulting</w:t>
            </w:r>
          </w:p>
        </w:tc>
        <w:tc>
          <w:tcPr>
            <w:tcW w:w="453" w:type="pct"/>
          </w:tcPr>
          <w:p w14:paraId="6872638B" w14:textId="77777777" w:rsidR="00582FAF" w:rsidRPr="00AD172A" w:rsidRDefault="00582FAF"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2005-06</w:t>
            </w:r>
          </w:p>
        </w:tc>
        <w:tc>
          <w:tcPr>
            <w:tcW w:w="696" w:type="pct"/>
          </w:tcPr>
          <w:p w14:paraId="0761A7F6" w14:textId="77777777" w:rsidR="00582FAF" w:rsidRDefault="005D59EE"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 xml:space="preserve">2005: </w:t>
            </w:r>
            <w:r w:rsidR="00582FAF">
              <w:rPr>
                <w:rFonts w:asciiTheme="majorHAnsi" w:hAnsiTheme="majorHAnsi"/>
              </w:rPr>
              <w:t>$85,933</w:t>
            </w:r>
          </w:p>
          <w:p w14:paraId="4CE2423E" w14:textId="77777777" w:rsidR="005D59EE" w:rsidRDefault="005D59EE"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2006: $40,747</w:t>
            </w:r>
          </w:p>
          <w:p w14:paraId="548D95A7" w14:textId="77777777" w:rsidR="00887062" w:rsidRDefault="00887062" w:rsidP="00887062">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lastRenderedPageBreak/>
              <w:t>2007: $1,659 (reprint)</w:t>
            </w:r>
          </w:p>
          <w:p w14:paraId="6F6D06F3" w14:textId="77777777" w:rsidR="00F90036" w:rsidRDefault="00F90036" w:rsidP="00887062">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61CE841C" w14:textId="77777777" w:rsidR="002432DE" w:rsidRDefault="002432DE" w:rsidP="00887062">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4AAF1DE8" w14:textId="77777777" w:rsidR="002432DE" w:rsidRDefault="002432DE" w:rsidP="00887062">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3B1B3129" w14:textId="77777777" w:rsidR="002432DE" w:rsidRDefault="002432DE" w:rsidP="00887062">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1D39D09B" w14:textId="77777777" w:rsidR="002432DE" w:rsidRDefault="002432DE" w:rsidP="00887062">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4E049490" w14:textId="77777777" w:rsidR="002432DE" w:rsidRDefault="002432DE" w:rsidP="00887062">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20C43261" w14:textId="77777777" w:rsidR="002432DE" w:rsidRDefault="002432DE" w:rsidP="00887062">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21CD7374" w14:textId="77777777" w:rsidR="002432DE" w:rsidRDefault="002432DE" w:rsidP="00887062">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2B7D0774" w14:textId="77777777" w:rsidR="00624B51" w:rsidRDefault="00624B51" w:rsidP="00887062">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7693BC56" w14:textId="77777777" w:rsidR="00624B51" w:rsidRDefault="00624B51" w:rsidP="00887062">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753A9EF8" w14:textId="77777777" w:rsidR="002432DE" w:rsidRDefault="002432DE" w:rsidP="00887062">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64F177A5" w14:textId="77777777" w:rsidR="002432DE" w:rsidRDefault="002432DE" w:rsidP="00887062">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48754163" w14:textId="54C391D4" w:rsidR="00F90036" w:rsidRPr="00581CC0" w:rsidRDefault="00F90036" w:rsidP="00F90036">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b/>
                <w:i/>
              </w:rPr>
            </w:pPr>
            <w:r w:rsidRPr="00581CC0">
              <w:rPr>
                <w:rFonts w:asciiTheme="majorHAnsi" w:hAnsiTheme="majorHAnsi"/>
                <w:b/>
                <w:i/>
              </w:rPr>
              <w:t>Sub-total: $128,339</w:t>
            </w:r>
          </w:p>
        </w:tc>
        <w:tc>
          <w:tcPr>
            <w:tcW w:w="1374" w:type="pct"/>
          </w:tcPr>
          <w:p w14:paraId="555A5592" w14:textId="3D326FA0" w:rsidR="00582FAF" w:rsidRPr="00AD172A" w:rsidRDefault="00582FAF" w:rsidP="004A0700">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lastRenderedPageBreak/>
              <w:t xml:space="preserve">The Moscow study used the same methodology employed in the US </w:t>
            </w:r>
            <w:r>
              <w:rPr>
                <w:rFonts w:asciiTheme="majorHAnsi" w:hAnsiTheme="majorHAnsi"/>
              </w:rPr>
              <w:lastRenderedPageBreak/>
              <w:t>and UK to measure the pervasiveness of discriminatory stops by police. It found that metro riders who are non-Slavic in appearance were over twenty times more likely to be stopped than those with Slavic features.</w:t>
            </w:r>
            <w:r w:rsidR="00DF4215">
              <w:rPr>
                <w:rFonts w:asciiTheme="majorHAnsi" w:hAnsiTheme="majorHAnsi"/>
              </w:rPr>
              <w:t xml:space="preserve"> The study marked the beginning of a broader focus within the Justice Initiative on profiling practices by the police in Europe. </w:t>
            </w:r>
            <w:r w:rsidR="004A0700">
              <w:rPr>
                <w:rFonts w:asciiTheme="majorHAnsi" w:hAnsiTheme="majorHAnsi"/>
              </w:rPr>
              <w:t>A</w:t>
            </w:r>
            <w:r w:rsidR="00DF4215">
              <w:rPr>
                <w:rFonts w:asciiTheme="majorHAnsi" w:hAnsiTheme="majorHAnsi"/>
              </w:rPr>
              <w:t>t the time the study represented an innovative approach to what was (and remains) an evidentiary vacuum in litigating profiling cases in Russia and beyond.</w:t>
            </w:r>
          </w:p>
        </w:tc>
      </w:tr>
      <w:tr w:rsidR="006A0160" w:rsidRPr="00AD172A" w14:paraId="049C535A" w14:textId="77777777" w:rsidTr="00D13015">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D99594" w:themeFill="accent2" w:themeFillTint="99"/>
          </w:tcPr>
          <w:p w14:paraId="3E4F55D3" w14:textId="77777777" w:rsidR="006A0160" w:rsidRPr="00AD172A" w:rsidRDefault="006A0160" w:rsidP="00E26BF4">
            <w:pPr>
              <w:jc w:val="center"/>
              <w:rPr>
                <w:rFonts w:asciiTheme="majorHAnsi" w:hAnsiTheme="majorHAnsi"/>
              </w:rPr>
            </w:pPr>
            <w:r>
              <w:rPr>
                <w:rFonts w:asciiTheme="majorHAnsi" w:hAnsiTheme="majorHAnsi"/>
              </w:rPr>
              <w:lastRenderedPageBreak/>
              <w:t>BULGARIA</w:t>
            </w:r>
          </w:p>
        </w:tc>
      </w:tr>
      <w:tr w:rsidR="006A0160" w:rsidRPr="00AD172A" w14:paraId="4DEEE0DF" w14:textId="77777777" w:rsidTr="004A0700">
        <w:tc>
          <w:tcPr>
            <w:cnfStyle w:val="001000000000" w:firstRow="0" w:lastRow="0" w:firstColumn="1" w:lastColumn="0" w:oddVBand="0" w:evenVBand="0" w:oddHBand="0" w:evenHBand="0" w:firstRowFirstColumn="0" w:firstRowLastColumn="0" w:lastRowFirstColumn="0" w:lastRowLastColumn="0"/>
            <w:tcW w:w="815" w:type="pct"/>
          </w:tcPr>
          <w:p w14:paraId="7C36530C" w14:textId="77777777" w:rsidR="006A0160" w:rsidRPr="006A0160" w:rsidRDefault="004E240B" w:rsidP="00582FAF">
            <w:pPr>
              <w:rPr>
                <w:rFonts w:asciiTheme="majorHAnsi" w:hAnsiTheme="majorHAnsi"/>
                <w:b w:val="0"/>
              </w:rPr>
            </w:pPr>
            <w:hyperlink r:id="rId15" w:history="1">
              <w:r w:rsidR="006A0160" w:rsidRPr="00677311">
                <w:rPr>
                  <w:rStyle w:val="Hyperlink"/>
                  <w:rFonts w:asciiTheme="majorHAnsi" w:hAnsiTheme="majorHAnsi"/>
                  <w:bCs w:val="0"/>
                  <w:i/>
                </w:rPr>
                <w:t>Nikolova v. CEZ</w:t>
              </w:r>
            </w:hyperlink>
            <w:r w:rsidR="006A0160">
              <w:rPr>
                <w:rFonts w:asciiTheme="majorHAnsi" w:hAnsiTheme="majorHAnsi"/>
                <w:b w:val="0"/>
                <w:i/>
              </w:rPr>
              <w:t xml:space="preserve"> </w:t>
            </w:r>
            <w:r w:rsidR="00582FAF">
              <w:rPr>
                <w:rFonts w:asciiTheme="majorHAnsi" w:hAnsiTheme="majorHAnsi"/>
                <w:b w:val="0"/>
              </w:rPr>
              <w:t>(CJEU:</w:t>
            </w:r>
            <w:r w:rsidR="006A0160">
              <w:rPr>
                <w:rFonts w:asciiTheme="majorHAnsi" w:hAnsiTheme="majorHAnsi"/>
                <w:b w:val="0"/>
              </w:rPr>
              <w:t xml:space="preserve"> filed 2014, judgment pending)</w:t>
            </w:r>
          </w:p>
        </w:tc>
        <w:tc>
          <w:tcPr>
            <w:tcW w:w="1662" w:type="pct"/>
          </w:tcPr>
          <w:p w14:paraId="4B1CEBC5" w14:textId="77777777" w:rsidR="00D66D7D" w:rsidRPr="00D66D7D" w:rsidRDefault="00D66D7D" w:rsidP="00526A5D">
            <w:pPr>
              <w:cnfStyle w:val="000000000000" w:firstRow="0" w:lastRow="0" w:firstColumn="0" w:lastColumn="0" w:oddVBand="0" w:evenVBand="0" w:oddHBand="0" w:evenHBand="0" w:firstRowFirstColumn="0" w:firstRowLastColumn="0" w:lastRowFirstColumn="0" w:lastRowLastColumn="0"/>
              <w:rPr>
                <w:rFonts w:asciiTheme="majorHAnsi" w:hAnsiTheme="majorHAnsi"/>
                <w:b/>
              </w:rPr>
            </w:pPr>
            <w:r>
              <w:rPr>
                <w:rFonts w:asciiTheme="majorHAnsi" w:hAnsiTheme="majorHAnsi"/>
                <w:b/>
              </w:rPr>
              <w:t>Individual consultancies</w:t>
            </w:r>
          </w:p>
          <w:p w14:paraId="2F8DBA83" w14:textId="6A9115DC" w:rsidR="00526A5D" w:rsidRPr="00750FAC" w:rsidRDefault="00526A5D" w:rsidP="00526A5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750FAC">
              <w:rPr>
                <w:rFonts w:asciiTheme="majorHAnsi" w:hAnsiTheme="majorHAnsi"/>
              </w:rPr>
              <w:t>Daniel</w:t>
            </w:r>
            <w:r w:rsidR="0034423F">
              <w:rPr>
                <w:rFonts w:asciiTheme="majorHAnsi" w:hAnsiTheme="majorHAnsi"/>
              </w:rPr>
              <w:t>a Mihayl</w:t>
            </w:r>
            <w:r w:rsidRPr="00750FAC">
              <w:rPr>
                <w:rFonts w:asciiTheme="majorHAnsi" w:hAnsiTheme="majorHAnsi"/>
              </w:rPr>
              <w:t>ova: 60010714</w:t>
            </w:r>
            <w:r w:rsidR="002C2F60">
              <w:rPr>
                <w:rFonts w:asciiTheme="majorHAnsi" w:hAnsiTheme="majorHAnsi"/>
              </w:rPr>
              <w:t xml:space="preserve"> (domestic counsel</w:t>
            </w:r>
            <w:r w:rsidR="00E97965">
              <w:rPr>
                <w:rFonts w:asciiTheme="majorHAnsi" w:hAnsiTheme="majorHAnsi"/>
              </w:rPr>
              <w:t>, 2015</w:t>
            </w:r>
            <w:r w:rsidR="0041624A">
              <w:rPr>
                <w:rFonts w:asciiTheme="majorHAnsi" w:hAnsiTheme="majorHAnsi"/>
              </w:rPr>
              <w:t>, $5,000</w:t>
            </w:r>
            <w:r w:rsidR="002C2F60">
              <w:rPr>
                <w:rFonts w:asciiTheme="majorHAnsi" w:hAnsiTheme="majorHAnsi"/>
              </w:rPr>
              <w:t>)</w:t>
            </w:r>
          </w:p>
          <w:p w14:paraId="76CFC4B7" w14:textId="77777777" w:rsidR="006A0160" w:rsidRDefault="009B1415" w:rsidP="009B1415">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 xml:space="preserve">Ruth </w:t>
            </w:r>
            <w:r w:rsidR="00526A5D" w:rsidRPr="00750FAC">
              <w:rPr>
                <w:rFonts w:asciiTheme="majorHAnsi" w:hAnsiTheme="majorHAnsi"/>
              </w:rPr>
              <w:t>Tobler: 60010083</w:t>
            </w:r>
            <w:r w:rsidR="002C2F60">
              <w:rPr>
                <w:rFonts w:asciiTheme="majorHAnsi" w:hAnsiTheme="majorHAnsi"/>
              </w:rPr>
              <w:t xml:space="preserve"> (vetting EU law arguments</w:t>
            </w:r>
            <w:r w:rsidR="00B43E78">
              <w:rPr>
                <w:rFonts w:asciiTheme="majorHAnsi" w:hAnsiTheme="majorHAnsi"/>
              </w:rPr>
              <w:t>, 2014, $3,475</w:t>
            </w:r>
            <w:r w:rsidR="00677311">
              <w:rPr>
                <w:rFonts w:asciiTheme="majorHAnsi" w:hAnsiTheme="majorHAnsi"/>
              </w:rPr>
              <w:t>)</w:t>
            </w:r>
          </w:p>
          <w:p w14:paraId="1BBA9898" w14:textId="77777777" w:rsidR="00677311" w:rsidRDefault="00677311" w:rsidP="009B1415">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2BDD1CF5" w14:textId="77777777" w:rsidR="00677311" w:rsidRDefault="00677311" w:rsidP="009B1415">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b/>
              </w:rPr>
              <w:t>Communications and advocacy</w:t>
            </w:r>
          </w:p>
          <w:p w14:paraId="31024F96" w14:textId="6637318D" w:rsidR="00677311" w:rsidRDefault="004E240B" w:rsidP="00677311">
            <w:pPr>
              <w:cnfStyle w:val="000000000000" w:firstRow="0" w:lastRow="0" w:firstColumn="0" w:lastColumn="0" w:oddVBand="0" w:evenVBand="0" w:oddHBand="0" w:evenHBand="0" w:firstRowFirstColumn="0" w:firstRowLastColumn="0" w:lastRowFirstColumn="0" w:lastRowLastColumn="0"/>
              <w:rPr>
                <w:rFonts w:asciiTheme="majorHAnsi" w:hAnsiTheme="majorHAnsi"/>
              </w:rPr>
            </w:pPr>
            <w:hyperlink r:id="rId16" w:history="1">
              <w:r w:rsidR="00677311" w:rsidRPr="004A0700">
                <w:rPr>
                  <w:rStyle w:val="Hyperlink"/>
                  <w:rFonts w:asciiTheme="majorHAnsi" w:hAnsiTheme="majorHAnsi"/>
                </w:rPr>
                <w:t>Case Watch ahead of oral argument</w:t>
              </w:r>
            </w:hyperlink>
            <w:r w:rsidR="004A0700">
              <w:rPr>
                <w:rFonts w:asciiTheme="majorHAnsi" w:hAnsiTheme="majorHAnsi"/>
              </w:rPr>
              <w:t xml:space="preserve"> (Voices)</w:t>
            </w:r>
          </w:p>
          <w:p w14:paraId="02FC5238" w14:textId="7A3E1006" w:rsidR="00677311" w:rsidRPr="00677311" w:rsidRDefault="004E240B" w:rsidP="00677311">
            <w:pPr>
              <w:cnfStyle w:val="000000000000" w:firstRow="0" w:lastRow="0" w:firstColumn="0" w:lastColumn="0" w:oddVBand="0" w:evenVBand="0" w:oddHBand="0" w:evenHBand="0" w:firstRowFirstColumn="0" w:firstRowLastColumn="0" w:lastRowFirstColumn="0" w:lastRowLastColumn="0"/>
              <w:rPr>
                <w:rFonts w:asciiTheme="majorHAnsi" w:hAnsiTheme="majorHAnsi"/>
              </w:rPr>
            </w:pPr>
            <w:hyperlink r:id="rId17" w:history="1">
              <w:r w:rsidR="00677311" w:rsidRPr="004A0700">
                <w:rPr>
                  <w:rStyle w:val="Hyperlink"/>
                  <w:rFonts w:asciiTheme="majorHAnsi" w:hAnsiTheme="majorHAnsi"/>
                </w:rPr>
                <w:t>Case Watch upon release of Advocate General opinion</w:t>
              </w:r>
            </w:hyperlink>
            <w:r w:rsidR="004A0700">
              <w:rPr>
                <w:rFonts w:asciiTheme="majorHAnsi" w:hAnsiTheme="majorHAnsi"/>
              </w:rPr>
              <w:t xml:space="preserve"> (Voices)</w:t>
            </w:r>
          </w:p>
        </w:tc>
        <w:tc>
          <w:tcPr>
            <w:tcW w:w="453" w:type="pct"/>
          </w:tcPr>
          <w:p w14:paraId="24EAE92A" w14:textId="08512174" w:rsidR="006A0160" w:rsidRPr="00AD172A" w:rsidRDefault="00624B51"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2014</w:t>
            </w:r>
            <w:r w:rsidR="0034423F">
              <w:rPr>
                <w:rFonts w:asciiTheme="majorHAnsi" w:hAnsiTheme="majorHAnsi"/>
              </w:rPr>
              <w:t>-present</w:t>
            </w:r>
          </w:p>
        </w:tc>
        <w:tc>
          <w:tcPr>
            <w:tcW w:w="696" w:type="pct"/>
          </w:tcPr>
          <w:p w14:paraId="67DE2EAD" w14:textId="35BE92DB" w:rsidR="00140600" w:rsidRDefault="00140600" w:rsidP="00AC445A">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2014:</w:t>
            </w:r>
            <w:r w:rsidR="00E97965">
              <w:rPr>
                <w:rFonts w:asciiTheme="majorHAnsi" w:hAnsiTheme="majorHAnsi"/>
              </w:rPr>
              <w:t xml:space="preserve"> $3,475</w:t>
            </w:r>
          </w:p>
          <w:p w14:paraId="26C8FB65" w14:textId="4080B7FD" w:rsidR="00E97965" w:rsidRDefault="0041624A" w:rsidP="00AC445A">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2015: $5,000</w:t>
            </w:r>
          </w:p>
          <w:p w14:paraId="52F12697" w14:textId="77777777" w:rsidR="004A0700" w:rsidRDefault="004A0700" w:rsidP="00AC445A">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0862440D" w14:textId="77777777" w:rsidR="004A0700" w:rsidRDefault="004A0700" w:rsidP="00AC445A">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3CD96E5B" w14:textId="77777777" w:rsidR="004A0700" w:rsidRDefault="004A0700" w:rsidP="00AC445A">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02B142CF" w14:textId="77777777" w:rsidR="00276720" w:rsidRDefault="00276720" w:rsidP="00AC445A">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655C9F91" w14:textId="77777777" w:rsidR="00276720" w:rsidRDefault="00276720" w:rsidP="00AC445A">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2D626980" w14:textId="77777777" w:rsidR="00276720" w:rsidRDefault="00276720" w:rsidP="00AC445A">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33762C97" w14:textId="77777777" w:rsidR="00276720" w:rsidRDefault="00276720" w:rsidP="00AC445A">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57997592" w14:textId="77777777" w:rsidR="00276720" w:rsidRDefault="00276720" w:rsidP="00AC445A">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35403E47" w14:textId="77777777" w:rsidR="00276720" w:rsidRDefault="00276720" w:rsidP="00AC445A">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7C6B6568" w14:textId="77777777" w:rsidR="004A0700" w:rsidRDefault="004A0700" w:rsidP="00AC445A">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3F1E4A81" w14:textId="77777777" w:rsidR="004A0700" w:rsidRDefault="004A0700" w:rsidP="00AC445A">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6B14A74F" w14:textId="77777777" w:rsidR="00E97965" w:rsidRDefault="00E97965" w:rsidP="00AC445A">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1263740B" w14:textId="77777777" w:rsidR="00E97965" w:rsidRDefault="00E97965" w:rsidP="00E97965">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b/>
                <w:i/>
              </w:rPr>
            </w:pPr>
            <w:r>
              <w:rPr>
                <w:rFonts w:asciiTheme="majorHAnsi" w:hAnsiTheme="majorHAnsi"/>
                <w:b/>
                <w:i/>
              </w:rPr>
              <w:t>Sub-total:</w:t>
            </w:r>
          </w:p>
          <w:p w14:paraId="62FFBA4A" w14:textId="59207A64" w:rsidR="00E97965" w:rsidRPr="00E97965" w:rsidRDefault="00E97965" w:rsidP="0041624A">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b/>
                <w:i/>
              </w:rPr>
            </w:pPr>
            <w:r>
              <w:rPr>
                <w:rFonts w:asciiTheme="majorHAnsi" w:hAnsiTheme="majorHAnsi"/>
                <w:b/>
                <w:i/>
              </w:rPr>
              <w:t>$</w:t>
            </w:r>
            <w:r w:rsidR="0041624A">
              <w:rPr>
                <w:rFonts w:asciiTheme="majorHAnsi" w:hAnsiTheme="majorHAnsi"/>
                <w:b/>
                <w:i/>
              </w:rPr>
              <w:t>8</w:t>
            </w:r>
            <w:r>
              <w:rPr>
                <w:rFonts w:asciiTheme="majorHAnsi" w:hAnsiTheme="majorHAnsi"/>
                <w:b/>
                <w:i/>
              </w:rPr>
              <w:t>,475</w:t>
            </w:r>
          </w:p>
        </w:tc>
        <w:tc>
          <w:tcPr>
            <w:tcW w:w="1374" w:type="pct"/>
          </w:tcPr>
          <w:p w14:paraId="079A850C" w14:textId="1B0287DD" w:rsidR="006A0160" w:rsidRPr="00AD172A" w:rsidRDefault="00677311" w:rsidP="004A0700">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 xml:space="preserve">The Justice Initiative is representing Anelia Nikolova before the CJEU in a case that challenged the </w:t>
            </w:r>
            <w:r w:rsidR="004A0700">
              <w:rPr>
                <w:rFonts w:asciiTheme="majorHAnsi" w:hAnsiTheme="majorHAnsi"/>
              </w:rPr>
              <w:t>majority Czech owned</w:t>
            </w:r>
            <w:r>
              <w:rPr>
                <w:rFonts w:asciiTheme="majorHAnsi" w:hAnsiTheme="majorHAnsi"/>
              </w:rPr>
              <w:t xml:space="preserve"> electricity </w:t>
            </w:r>
            <w:r w:rsidR="004A0700">
              <w:rPr>
                <w:rFonts w:asciiTheme="majorHAnsi" w:hAnsiTheme="majorHAnsi"/>
              </w:rPr>
              <w:t>company CEZ’s</w:t>
            </w:r>
            <w:r>
              <w:rPr>
                <w:rFonts w:asciiTheme="majorHAnsi" w:hAnsiTheme="majorHAnsi"/>
              </w:rPr>
              <w:t xml:space="preserve"> practice of elevating electricity meters </w:t>
            </w:r>
            <w:r w:rsidR="004A0700">
              <w:rPr>
                <w:rFonts w:asciiTheme="majorHAnsi" w:hAnsiTheme="majorHAnsi"/>
              </w:rPr>
              <w:t>seven</w:t>
            </w:r>
            <w:r>
              <w:rPr>
                <w:rFonts w:asciiTheme="majorHAnsi" w:hAnsiTheme="majorHAnsi"/>
              </w:rPr>
              <w:t xml:space="preserve"> meters from the ground in “Roma districts,” leaving the meters at head height and easily accessible in other districts. </w:t>
            </w:r>
            <w:r w:rsidR="004A0700">
              <w:rPr>
                <w:rFonts w:asciiTheme="majorHAnsi" w:hAnsiTheme="majorHAnsi"/>
              </w:rPr>
              <w:t>Advocate General Kokott’s March 2015 opinion embraced many of the Justice Initiative’s arguments on the application of EU antidiscrimination protection in the case. A decision by the CJEU is expected July 16, 2015.</w:t>
            </w:r>
          </w:p>
        </w:tc>
      </w:tr>
    </w:tbl>
    <w:p w14:paraId="246CC713" w14:textId="77777777" w:rsidR="004A0700" w:rsidRDefault="004A0700">
      <w:r>
        <w:rPr>
          <w:b/>
          <w:bCs/>
        </w:rPr>
        <w:br w:type="page"/>
      </w:r>
    </w:p>
    <w:tbl>
      <w:tblPr>
        <w:tblStyle w:val="ColorfulList-Accent1"/>
        <w:tblpPr w:leftFromText="180" w:rightFromText="180" w:vertAnchor="text" w:horzAnchor="margin" w:tblpY="23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2147"/>
        <w:gridCol w:w="4380"/>
        <w:gridCol w:w="1194"/>
        <w:gridCol w:w="1834"/>
        <w:gridCol w:w="3621"/>
      </w:tblGrid>
      <w:tr w:rsidR="006A0160" w:rsidRPr="00AD172A" w14:paraId="030B0781" w14:textId="77777777" w:rsidTr="004A07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5"/>
            <w:tcBorders>
              <w:bottom w:val="single" w:sz="4" w:space="0" w:color="auto"/>
            </w:tcBorders>
            <w:shd w:val="clear" w:color="auto" w:fill="D99594" w:themeFill="accent2" w:themeFillTint="99"/>
          </w:tcPr>
          <w:p w14:paraId="603597BD" w14:textId="48489AF0" w:rsidR="006A0160" w:rsidRPr="004A0700" w:rsidRDefault="006A0160" w:rsidP="00E26BF4">
            <w:pPr>
              <w:jc w:val="center"/>
              <w:rPr>
                <w:rFonts w:asciiTheme="majorHAnsi" w:hAnsiTheme="majorHAnsi"/>
                <w:color w:val="auto"/>
              </w:rPr>
            </w:pPr>
            <w:r w:rsidRPr="004A0700">
              <w:rPr>
                <w:rFonts w:asciiTheme="majorHAnsi" w:hAnsiTheme="majorHAnsi"/>
                <w:color w:val="auto"/>
              </w:rPr>
              <w:lastRenderedPageBreak/>
              <w:t>FRANCE</w:t>
            </w:r>
          </w:p>
        </w:tc>
      </w:tr>
      <w:tr w:rsidR="00D66D7D" w:rsidRPr="00AD172A" w14:paraId="33C23C4E" w14:textId="77777777" w:rsidTr="004A0700">
        <w:trPr>
          <w:trHeight w:val="3126"/>
        </w:trPr>
        <w:tc>
          <w:tcPr>
            <w:cnfStyle w:val="001000000000" w:firstRow="0" w:lastRow="0" w:firstColumn="1" w:lastColumn="0" w:oddVBand="0" w:evenVBand="0" w:oddHBand="0" w:evenHBand="0" w:firstRowFirstColumn="0" w:firstRowLastColumn="0" w:lastRowFirstColumn="0" w:lastRowLastColumn="0"/>
            <w:tcW w:w="815" w:type="pct"/>
            <w:tcBorders>
              <w:top w:val="single" w:sz="4" w:space="0" w:color="auto"/>
            </w:tcBorders>
          </w:tcPr>
          <w:p w14:paraId="592B8B2C" w14:textId="77777777" w:rsidR="00D66D7D" w:rsidRPr="00526A5D" w:rsidRDefault="004E240B" w:rsidP="00E26BF4">
            <w:pPr>
              <w:rPr>
                <w:rFonts w:asciiTheme="majorHAnsi" w:hAnsiTheme="majorHAnsi"/>
                <w:b w:val="0"/>
              </w:rPr>
            </w:pPr>
            <w:hyperlink r:id="rId18" w:history="1">
              <w:r w:rsidR="00D66D7D" w:rsidRPr="00526A5D">
                <w:rPr>
                  <w:rStyle w:val="Hyperlink"/>
                  <w:rFonts w:asciiTheme="majorHAnsi" w:hAnsiTheme="majorHAnsi"/>
                  <w:b w:val="0"/>
                  <w:bCs w:val="0"/>
                  <w:i/>
                </w:rPr>
                <w:t>S.A.S. v. France</w:t>
              </w:r>
            </w:hyperlink>
            <w:r w:rsidR="00D66D7D">
              <w:rPr>
                <w:rFonts w:asciiTheme="majorHAnsi" w:hAnsiTheme="majorHAnsi"/>
                <w:b w:val="0"/>
                <w:i/>
              </w:rPr>
              <w:t xml:space="preserve"> </w:t>
            </w:r>
            <w:r w:rsidR="00D66D7D">
              <w:rPr>
                <w:rFonts w:asciiTheme="majorHAnsi" w:hAnsiTheme="majorHAnsi"/>
                <w:b w:val="0"/>
              </w:rPr>
              <w:t>(ECtHR: written comments and follow up report, 2011-14; judgment 2014)</w:t>
            </w:r>
          </w:p>
        </w:tc>
        <w:tc>
          <w:tcPr>
            <w:tcW w:w="1662" w:type="pct"/>
            <w:tcBorders>
              <w:top w:val="single" w:sz="4" w:space="0" w:color="auto"/>
            </w:tcBorders>
          </w:tcPr>
          <w:p w14:paraId="7686F060" w14:textId="77777777" w:rsidR="00D66D7D" w:rsidRDefault="00D66D7D"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b/>
              </w:rPr>
            </w:pPr>
            <w:r>
              <w:rPr>
                <w:rFonts w:asciiTheme="majorHAnsi" w:hAnsiTheme="majorHAnsi"/>
                <w:b/>
              </w:rPr>
              <w:t>Individual consultancies</w:t>
            </w:r>
          </w:p>
          <w:p w14:paraId="31C0781B" w14:textId="318C5C08" w:rsidR="00D66D7D" w:rsidRDefault="00D66D7D"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 xml:space="preserve">Naima </w:t>
            </w:r>
            <w:r w:rsidRPr="00750FAC">
              <w:rPr>
                <w:rFonts w:asciiTheme="majorHAnsi" w:hAnsiTheme="majorHAnsi"/>
              </w:rPr>
              <w:t>Bouteldja</w:t>
            </w:r>
            <w:r>
              <w:rPr>
                <w:rFonts w:asciiTheme="majorHAnsi" w:hAnsiTheme="majorHAnsi"/>
              </w:rPr>
              <w:t xml:space="preserve"> contract</w:t>
            </w:r>
            <w:r w:rsidRPr="00750FAC">
              <w:rPr>
                <w:rFonts w:asciiTheme="majorHAnsi" w:hAnsiTheme="majorHAnsi"/>
              </w:rPr>
              <w:t>: 60008645</w:t>
            </w:r>
            <w:r>
              <w:rPr>
                <w:rFonts w:asciiTheme="majorHAnsi" w:hAnsiTheme="majorHAnsi"/>
              </w:rPr>
              <w:t xml:space="preserve"> (After the Ban report researcher and author</w:t>
            </w:r>
            <w:r w:rsidR="006579BD">
              <w:rPr>
                <w:rFonts w:asciiTheme="majorHAnsi" w:hAnsiTheme="majorHAnsi"/>
              </w:rPr>
              <w:t>; 2013, $2,500</w:t>
            </w:r>
            <w:r>
              <w:rPr>
                <w:rFonts w:asciiTheme="majorHAnsi" w:hAnsiTheme="majorHAnsi"/>
              </w:rPr>
              <w:t>)</w:t>
            </w:r>
          </w:p>
          <w:p w14:paraId="3FCC6692" w14:textId="77777777" w:rsidR="00D66D7D" w:rsidRDefault="00D66D7D" w:rsidP="00D66D7D">
            <w:pPr>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p w14:paraId="1F87C2D0" w14:textId="77777777" w:rsidR="00D66D7D" w:rsidRPr="00D66D7D" w:rsidRDefault="00D66D7D" w:rsidP="00D66D7D">
            <w:pPr>
              <w:cnfStyle w:val="000000000000" w:firstRow="0" w:lastRow="0" w:firstColumn="0" w:lastColumn="0" w:oddVBand="0" w:evenVBand="0" w:oddHBand="0" w:evenHBand="0" w:firstRowFirstColumn="0" w:firstRowLastColumn="0" w:lastRowFirstColumn="0" w:lastRowLastColumn="0"/>
              <w:rPr>
                <w:rFonts w:asciiTheme="majorHAnsi" w:hAnsiTheme="majorHAnsi"/>
                <w:b/>
              </w:rPr>
            </w:pPr>
            <w:r w:rsidRPr="00D66D7D">
              <w:rPr>
                <w:rFonts w:asciiTheme="majorHAnsi" w:hAnsiTheme="majorHAnsi"/>
                <w:b/>
              </w:rPr>
              <w:t>Communications</w:t>
            </w:r>
          </w:p>
          <w:p w14:paraId="36495BE3" w14:textId="77777777" w:rsidR="00D66D7D" w:rsidRDefault="004E240B" w:rsidP="00D66D7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hyperlink r:id="rId19" w:history="1">
              <w:r w:rsidR="00D66D7D" w:rsidRPr="00526A5D">
                <w:rPr>
                  <w:rStyle w:val="Hyperlink"/>
                  <w:rFonts w:asciiTheme="majorHAnsi" w:hAnsiTheme="majorHAnsi"/>
                </w:rPr>
                <w:t>Voices piece</w:t>
              </w:r>
            </w:hyperlink>
            <w:r w:rsidR="00D66D7D">
              <w:rPr>
                <w:rFonts w:asciiTheme="majorHAnsi" w:hAnsiTheme="majorHAnsi"/>
              </w:rPr>
              <w:t xml:space="preserve"> on judgment (2014)</w:t>
            </w:r>
          </w:p>
          <w:p w14:paraId="3756E164" w14:textId="77777777" w:rsidR="00D66D7D" w:rsidRDefault="004E240B" w:rsidP="00D66D7D">
            <w:pPr>
              <w:cnfStyle w:val="000000000000" w:firstRow="0" w:lastRow="0" w:firstColumn="0" w:lastColumn="0" w:oddVBand="0" w:evenVBand="0" w:oddHBand="0" w:evenHBand="0" w:firstRowFirstColumn="0" w:firstRowLastColumn="0" w:lastRowFirstColumn="0" w:lastRowLastColumn="0"/>
            </w:pPr>
            <w:hyperlink r:id="rId20" w:history="1">
              <w:r w:rsidR="00D66D7D" w:rsidRPr="00526A5D">
                <w:rPr>
                  <w:rStyle w:val="Hyperlink"/>
                  <w:rFonts w:asciiTheme="majorHAnsi" w:hAnsiTheme="majorHAnsi"/>
                </w:rPr>
                <w:t>Analysis of case ahead of judgment</w:t>
              </w:r>
            </w:hyperlink>
            <w:r w:rsidR="00D66D7D">
              <w:rPr>
                <w:rFonts w:asciiTheme="majorHAnsi" w:hAnsiTheme="majorHAnsi"/>
              </w:rPr>
              <w:t xml:space="preserve"> (Briefing Paper, 2014)</w:t>
            </w:r>
          </w:p>
          <w:p w14:paraId="0BBDB081" w14:textId="3B2EAA02" w:rsidR="00D66D7D" w:rsidRPr="00AD172A" w:rsidRDefault="004E240B"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hyperlink r:id="rId21" w:history="1">
              <w:r w:rsidR="00D66D7D" w:rsidRPr="00526A5D">
                <w:rPr>
                  <w:rStyle w:val="Hyperlink"/>
                  <w:rFonts w:asciiTheme="majorHAnsi" w:hAnsiTheme="majorHAnsi"/>
                </w:rPr>
                <w:t>After the Ban: The Experiences of 35 Women of the Full Face Veil in France</w:t>
              </w:r>
            </w:hyperlink>
            <w:r w:rsidR="00D66D7D">
              <w:rPr>
                <w:rFonts w:asciiTheme="majorHAnsi" w:hAnsiTheme="majorHAnsi"/>
              </w:rPr>
              <w:t xml:space="preserve"> [PDF] (Report – submitted to ECtHR, 2013)</w:t>
            </w:r>
          </w:p>
        </w:tc>
        <w:tc>
          <w:tcPr>
            <w:tcW w:w="453" w:type="pct"/>
            <w:tcBorders>
              <w:top w:val="single" w:sz="4" w:space="0" w:color="auto"/>
            </w:tcBorders>
          </w:tcPr>
          <w:p w14:paraId="0728FDE3" w14:textId="77777777" w:rsidR="00D66D7D" w:rsidRPr="00AD172A" w:rsidRDefault="00D66D7D"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2011-present</w:t>
            </w:r>
          </w:p>
        </w:tc>
        <w:tc>
          <w:tcPr>
            <w:tcW w:w="696" w:type="pct"/>
            <w:tcBorders>
              <w:top w:val="single" w:sz="4" w:space="0" w:color="auto"/>
            </w:tcBorders>
          </w:tcPr>
          <w:p w14:paraId="70B37CF0" w14:textId="77777777" w:rsidR="00D66D7D" w:rsidRDefault="00140600"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2013:</w:t>
            </w:r>
            <w:r w:rsidR="006579BD">
              <w:rPr>
                <w:rFonts w:asciiTheme="majorHAnsi" w:hAnsiTheme="majorHAnsi"/>
              </w:rPr>
              <w:t xml:space="preserve"> $2,500</w:t>
            </w:r>
          </w:p>
          <w:p w14:paraId="43CB87DE" w14:textId="77777777" w:rsidR="006579BD" w:rsidRDefault="006579BD"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687E9A27" w14:textId="77777777" w:rsidR="006579BD" w:rsidRDefault="006579BD"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5BECC978" w14:textId="77777777" w:rsidR="006579BD" w:rsidRDefault="006579BD"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25F9F1BD" w14:textId="77777777" w:rsidR="006579BD" w:rsidRDefault="006579BD"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00BB9DC8" w14:textId="77777777" w:rsidR="006579BD" w:rsidRDefault="006579BD"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38A0A506" w14:textId="77777777" w:rsidR="006579BD" w:rsidRDefault="006579BD"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05E7A6D5" w14:textId="77777777" w:rsidR="006579BD" w:rsidRDefault="006579BD"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1E79C5E3" w14:textId="77777777" w:rsidR="006579BD" w:rsidRDefault="006579BD"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40A94665" w14:textId="77777777" w:rsidR="006579BD" w:rsidRDefault="006579BD"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72281A6D" w14:textId="77777777" w:rsidR="006579BD" w:rsidRPr="00581CC0" w:rsidRDefault="006579BD" w:rsidP="006579BD">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b/>
                <w:i/>
              </w:rPr>
            </w:pPr>
            <w:r w:rsidRPr="00581CC0">
              <w:rPr>
                <w:rFonts w:asciiTheme="majorHAnsi" w:hAnsiTheme="majorHAnsi"/>
                <w:b/>
                <w:i/>
              </w:rPr>
              <w:t>Sub-total:</w:t>
            </w:r>
          </w:p>
          <w:p w14:paraId="4AA0A9B5" w14:textId="6DF84511" w:rsidR="006579BD" w:rsidRPr="006579BD" w:rsidRDefault="006579BD" w:rsidP="006579BD">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b/>
              </w:rPr>
            </w:pPr>
            <w:r w:rsidRPr="00581CC0">
              <w:rPr>
                <w:rFonts w:asciiTheme="majorHAnsi" w:hAnsiTheme="majorHAnsi"/>
                <w:b/>
                <w:i/>
              </w:rPr>
              <w:t>$2,500</w:t>
            </w:r>
          </w:p>
        </w:tc>
        <w:tc>
          <w:tcPr>
            <w:tcW w:w="1374" w:type="pct"/>
            <w:tcBorders>
              <w:top w:val="single" w:sz="4" w:space="0" w:color="auto"/>
            </w:tcBorders>
          </w:tcPr>
          <w:p w14:paraId="109B6018" w14:textId="4D0BE054" w:rsidR="00D66D7D" w:rsidRPr="00AD172A" w:rsidRDefault="004A0700" w:rsidP="00494941">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The Justice Initiative submitted a third party intervention in this case challenging a nationwide ban on the wearing of full-face veils</w:t>
            </w:r>
            <w:r w:rsidR="00276720">
              <w:rPr>
                <w:rFonts w:asciiTheme="majorHAnsi" w:hAnsiTheme="majorHAnsi"/>
              </w:rPr>
              <w:t xml:space="preserve"> in public spaces in France. </w:t>
            </w:r>
            <w:r w:rsidR="00CB5F12">
              <w:rPr>
                <w:rFonts w:asciiTheme="majorHAnsi" w:hAnsiTheme="majorHAnsi"/>
              </w:rPr>
              <w:t xml:space="preserve">In its controversial 2014 judgment the ECtHR Grand Chamber upheld the ban as a </w:t>
            </w:r>
            <w:r w:rsidR="00494941">
              <w:rPr>
                <w:rFonts w:asciiTheme="majorHAnsi" w:hAnsiTheme="majorHAnsi"/>
              </w:rPr>
              <w:t>necessary</w:t>
            </w:r>
            <w:r w:rsidR="00CB5F12">
              <w:rPr>
                <w:rFonts w:asciiTheme="majorHAnsi" w:hAnsiTheme="majorHAnsi"/>
              </w:rPr>
              <w:t xml:space="preserve"> measure to </w:t>
            </w:r>
            <w:r w:rsidR="00494941">
              <w:rPr>
                <w:rFonts w:asciiTheme="majorHAnsi" w:hAnsiTheme="majorHAnsi"/>
              </w:rPr>
              <w:t>support “living together” under French law – a concept that has not previously figured in the Court’s jurisprudence.</w:t>
            </w:r>
          </w:p>
        </w:tc>
      </w:tr>
      <w:tr w:rsidR="00125FD2" w:rsidRPr="00AD172A" w14:paraId="352FFF82" w14:textId="77777777" w:rsidTr="004A0700">
        <w:tc>
          <w:tcPr>
            <w:cnfStyle w:val="001000000000" w:firstRow="0" w:lastRow="0" w:firstColumn="1" w:lastColumn="0" w:oddVBand="0" w:evenVBand="0" w:oddHBand="0" w:evenHBand="0" w:firstRowFirstColumn="0" w:firstRowLastColumn="0" w:lastRowFirstColumn="0" w:lastRowLastColumn="0"/>
            <w:tcW w:w="815" w:type="pct"/>
          </w:tcPr>
          <w:p w14:paraId="3D905008" w14:textId="078AAC15" w:rsidR="00125FD2" w:rsidRPr="00026532" w:rsidRDefault="004E240B" w:rsidP="00026532">
            <w:pPr>
              <w:rPr>
                <w:rFonts w:asciiTheme="majorHAnsi" w:hAnsiTheme="majorHAnsi"/>
                <w:b w:val="0"/>
              </w:rPr>
            </w:pPr>
            <w:hyperlink r:id="rId22" w:history="1">
              <w:r w:rsidR="00026532" w:rsidRPr="00D66D7D">
                <w:rPr>
                  <w:rStyle w:val="Hyperlink"/>
                  <w:rFonts w:asciiTheme="majorHAnsi" w:hAnsiTheme="majorHAnsi"/>
                  <w:bCs w:val="0"/>
                  <w:i/>
                </w:rPr>
                <w:t>French Profiling Litigation</w:t>
              </w:r>
              <w:r w:rsidR="00026532">
                <w:rPr>
                  <w:rStyle w:val="Hyperlink"/>
                  <w:rFonts w:asciiTheme="majorHAnsi" w:hAnsiTheme="majorHAnsi"/>
                  <w:b w:val="0"/>
                  <w:bCs w:val="0"/>
                  <w:i/>
                </w:rPr>
                <w:t xml:space="preserve"> </w:t>
              </w:r>
            </w:hyperlink>
            <w:r w:rsidR="00026532">
              <w:rPr>
                <w:rFonts w:asciiTheme="majorHAnsi" w:hAnsiTheme="majorHAnsi"/>
                <w:b w:val="0"/>
              </w:rPr>
              <w:t>(domestic civil and constitutional challenges; civil judgments 2015)</w:t>
            </w:r>
          </w:p>
        </w:tc>
        <w:tc>
          <w:tcPr>
            <w:tcW w:w="1662" w:type="pct"/>
          </w:tcPr>
          <w:p w14:paraId="5270A605" w14:textId="77777777" w:rsidR="006D5FC1" w:rsidRPr="00067A7A" w:rsidRDefault="006D5FC1"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b/>
                <w:lang w:val="fr-FR"/>
              </w:rPr>
            </w:pPr>
            <w:r w:rsidRPr="00067A7A">
              <w:rPr>
                <w:rFonts w:asciiTheme="majorHAnsi" w:hAnsiTheme="majorHAnsi"/>
                <w:b/>
                <w:lang w:val="fr-FR"/>
              </w:rPr>
              <w:t>Grants</w:t>
            </w:r>
          </w:p>
          <w:p w14:paraId="3317A657" w14:textId="3386285C" w:rsidR="006D5FC1" w:rsidRPr="00067A7A" w:rsidRDefault="006D5FC1"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lang w:val="fr-FR"/>
              </w:rPr>
            </w:pPr>
            <w:r w:rsidRPr="00067A7A">
              <w:rPr>
                <w:rFonts w:asciiTheme="majorHAnsi" w:hAnsiTheme="majorHAnsi"/>
                <w:lang w:val="fr-FR"/>
              </w:rPr>
              <w:t>Espace Projets Interassociatifs</w:t>
            </w:r>
            <w:r w:rsidR="00AB628D">
              <w:rPr>
                <w:rFonts w:asciiTheme="majorHAnsi" w:hAnsiTheme="majorHAnsi"/>
                <w:lang w:val="fr-FR"/>
              </w:rPr>
              <w:t xml:space="preserve"> 2011: </w:t>
            </w:r>
            <w:r w:rsidRPr="00067A7A">
              <w:rPr>
                <w:rFonts w:asciiTheme="majorHAnsi" w:hAnsiTheme="majorHAnsi"/>
                <w:lang w:val="fr-FR"/>
              </w:rPr>
              <w:t xml:space="preserve"> </w:t>
            </w:r>
            <w:r w:rsidR="00AB628D" w:rsidRPr="00E2007D">
              <w:rPr>
                <w:lang w:val="fr-FR"/>
              </w:rPr>
              <w:t xml:space="preserve"> </w:t>
            </w:r>
            <w:hyperlink r:id="rId23" w:history="1">
              <w:r w:rsidR="00AB628D" w:rsidRPr="00AB628D">
                <w:rPr>
                  <w:rStyle w:val="Hyperlink"/>
                  <w:rFonts w:asciiTheme="majorHAnsi" w:hAnsiTheme="majorHAnsi"/>
                  <w:lang w:val="fr-FR"/>
                </w:rPr>
                <w:t>OR2011-33181</w:t>
              </w:r>
            </w:hyperlink>
            <w:r w:rsidR="00AB628D" w:rsidRPr="00AB628D">
              <w:rPr>
                <w:rFonts w:asciiTheme="majorHAnsi" w:hAnsiTheme="majorHAnsi"/>
                <w:lang w:val="fr-FR"/>
              </w:rPr>
              <w:t xml:space="preserve"> </w:t>
            </w:r>
            <w:r w:rsidRPr="00067A7A">
              <w:rPr>
                <w:rFonts w:asciiTheme="majorHAnsi" w:hAnsiTheme="majorHAnsi"/>
                <w:lang w:val="fr-FR"/>
              </w:rPr>
              <w:t xml:space="preserve">($19,172) </w:t>
            </w:r>
          </w:p>
          <w:p w14:paraId="2D5538F0" w14:textId="77777777" w:rsidR="006D5FC1" w:rsidRPr="00067A7A" w:rsidRDefault="006D5FC1"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b/>
                <w:lang w:val="fr-FR"/>
              </w:rPr>
            </w:pPr>
          </w:p>
          <w:p w14:paraId="645B189F" w14:textId="34708AC5" w:rsidR="00D66D7D" w:rsidRDefault="004B2D8F"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b/>
              </w:rPr>
            </w:pPr>
            <w:r>
              <w:rPr>
                <w:rFonts w:asciiTheme="majorHAnsi" w:hAnsiTheme="majorHAnsi"/>
                <w:b/>
              </w:rPr>
              <w:t>O</w:t>
            </w:r>
            <w:r w:rsidR="00194C85">
              <w:rPr>
                <w:rFonts w:asciiTheme="majorHAnsi" w:hAnsiTheme="majorHAnsi"/>
                <w:b/>
              </w:rPr>
              <w:t xml:space="preserve">rganizational </w:t>
            </w:r>
            <w:r>
              <w:rPr>
                <w:rFonts w:asciiTheme="majorHAnsi" w:hAnsiTheme="majorHAnsi"/>
                <w:b/>
              </w:rPr>
              <w:t xml:space="preserve">and individual </w:t>
            </w:r>
            <w:r w:rsidR="00D66D7D">
              <w:rPr>
                <w:rFonts w:asciiTheme="majorHAnsi" w:hAnsiTheme="majorHAnsi"/>
                <w:b/>
              </w:rPr>
              <w:t>consultancies</w:t>
            </w:r>
          </w:p>
          <w:p w14:paraId="6D07E0BB" w14:textId="7FC41937" w:rsidR="00194C85" w:rsidRDefault="00194C85"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Gwenaele Calves contract</w:t>
            </w:r>
            <w:r w:rsidR="00AB0387">
              <w:rPr>
                <w:rFonts w:asciiTheme="majorHAnsi" w:hAnsiTheme="majorHAnsi"/>
              </w:rPr>
              <w:t>:</w:t>
            </w:r>
            <w:r>
              <w:rPr>
                <w:rFonts w:asciiTheme="majorHAnsi" w:hAnsiTheme="majorHAnsi"/>
              </w:rPr>
              <w:t xml:space="preserve"> </w:t>
            </w:r>
            <w:r w:rsidR="00102314" w:rsidRPr="00102314">
              <w:rPr>
                <w:rFonts w:asciiTheme="majorHAnsi" w:hAnsiTheme="majorHAnsi"/>
              </w:rPr>
              <w:t xml:space="preserve">60004842 </w:t>
            </w:r>
            <w:r>
              <w:rPr>
                <w:rFonts w:asciiTheme="majorHAnsi" w:hAnsiTheme="majorHAnsi"/>
              </w:rPr>
              <w:t>(2009)</w:t>
            </w:r>
          </w:p>
          <w:p w14:paraId="15CC842D" w14:textId="3BB14475" w:rsidR="00026532" w:rsidRDefault="005D59EE"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5D59EE">
              <w:rPr>
                <w:rFonts w:asciiTheme="majorHAnsi" w:hAnsiTheme="majorHAnsi"/>
              </w:rPr>
              <w:t>Cabinet Beauquier Belloy Gauvain</w:t>
            </w:r>
            <w:r w:rsidR="00DE2F10">
              <w:rPr>
                <w:rFonts w:asciiTheme="majorHAnsi" w:hAnsiTheme="majorHAnsi"/>
              </w:rPr>
              <w:t>/Felix Belloy</w:t>
            </w:r>
            <w:r>
              <w:rPr>
                <w:rFonts w:asciiTheme="majorHAnsi" w:hAnsiTheme="majorHAnsi"/>
              </w:rPr>
              <w:t xml:space="preserve"> contract</w:t>
            </w:r>
            <w:r w:rsidR="00AB0387">
              <w:rPr>
                <w:rFonts w:asciiTheme="majorHAnsi" w:hAnsiTheme="majorHAnsi"/>
              </w:rPr>
              <w:t>:</w:t>
            </w:r>
            <w:r>
              <w:rPr>
                <w:rFonts w:asciiTheme="majorHAnsi" w:hAnsiTheme="majorHAnsi"/>
              </w:rPr>
              <w:t xml:space="preserve"> (civil case)</w:t>
            </w:r>
            <w:r w:rsidR="00DE2F10">
              <w:rPr>
                <w:rFonts w:asciiTheme="majorHAnsi" w:hAnsiTheme="majorHAnsi"/>
              </w:rPr>
              <w:t xml:space="preserve"> </w:t>
            </w:r>
            <w:r w:rsidR="00AB0387" w:rsidRPr="00AB0387">
              <w:rPr>
                <w:rFonts w:asciiTheme="majorHAnsi" w:hAnsiTheme="majorHAnsi"/>
              </w:rPr>
              <w:t>70002915</w:t>
            </w:r>
            <w:r w:rsidR="00AB0387">
              <w:rPr>
                <w:rFonts w:asciiTheme="majorHAnsi" w:hAnsiTheme="majorHAnsi"/>
              </w:rPr>
              <w:t>/</w:t>
            </w:r>
            <w:r w:rsidR="00AB0387">
              <w:t xml:space="preserve"> </w:t>
            </w:r>
            <w:r w:rsidR="00AB0387" w:rsidRPr="00AB0387">
              <w:rPr>
                <w:rFonts w:asciiTheme="majorHAnsi" w:hAnsiTheme="majorHAnsi"/>
              </w:rPr>
              <w:t xml:space="preserve">60004845 </w:t>
            </w:r>
            <w:r w:rsidR="00DE2F10">
              <w:rPr>
                <w:rFonts w:asciiTheme="majorHAnsi" w:hAnsiTheme="majorHAnsi"/>
              </w:rPr>
              <w:t>(20</w:t>
            </w:r>
            <w:r w:rsidR="00AB0387" w:rsidRPr="004A4F87">
              <w:rPr>
                <w:rFonts w:asciiTheme="majorHAnsi" w:hAnsiTheme="majorHAnsi"/>
              </w:rPr>
              <w:t>09</w:t>
            </w:r>
            <w:r w:rsidR="00DE2F10">
              <w:rPr>
                <w:rFonts w:asciiTheme="majorHAnsi" w:hAnsiTheme="majorHAnsi"/>
              </w:rPr>
              <w:t>-12, $17,881</w:t>
            </w:r>
            <w:r w:rsidR="006579BD">
              <w:rPr>
                <w:rFonts w:asciiTheme="majorHAnsi" w:hAnsiTheme="majorHAnsi"/>
              </w:rPr>
              <w:t xml:space="preserve">; 2013, </w:t>
            </w:r>
            <w:r w:rsidR="0067596C">
              <w:rPr>
                <w:rFonts w:asciiTheme="majorHAnsi" w:hAnsiTheme="majorHAnsi"/>
              </w:rPr>
              <w:t>$7,800</w:t>
            </w:r>
            <w:r w:rsidR="005E5039">
              <w:rPr>
                <w:rFonts w:asciiTheme="majorHAnsi" w:hAnsiTheme="majorHAnsi"/>
              </w:rPr>
              <w:t>; 2014: $9,076</w:t>
            </w:r>
            <w:r w:rsidR="00DE2F10">
              <w:rPr>
                <w:rFonts w:asciiTheme="majorHAnsi" w:hAnsiTheme="majorHAnsi"/>
              </w:rPr>
              <w:t xml:space="preserve">) </w:t>
            </w:r>
          </w:p>
          <w:p w14:paraId="33E2AFDB" w14:textId="247836EB" w:rsidR="0067596C" w:rsidRPr="00A05C7F" w:rsidRDefault="0067596C"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A05C7F">
              <w:rPr>
                <w:rFonts w:asciiTheme="majorHAnsi" w:hAnsiTheme="majorHAnsi"/>
              </w:rPr>
              <w:t>Cabinet le Mailloux contract</w:t>
            </w:r>
            <w:r w:rsidR="00A05C7F" w:rsidRPr="00A05C7F">
              <w:rPr>
                <w:rFonts w:asciiTheme="majorHAnsi" w:hAnsiTheme="majorHAnsi"/>
              </w:rPr>
              <w:t>:</w:t>
            </w:r>
            <w:r w:rsidRPr="00A05C7F">
              <w:rPr>
                <w:rFonts w:asciiTheme="majorHAnsi" w:hAnsiTheme="majorHAnsi"/>
              </w:rPr>
              <w:t xml:space="preserve"> </w:t>
            </w:r>
            <w:r w:rsidR="00A05C7F" w:rsidRPr="00A05C7F">
              <w:rPr>
                <w:rFonts w:asciiTheme="majorHAnsi" w:hAnsiTheme="majorHAnsi"/>
              </w:rPr>
              <w:t xml:space="preserve">70004109 </w:t>
            </w:r>
            <w:r w:rsidRPr="00A05C7F">
              <w:rPr>
                <w:rFonts w:asciiTheme="majorHAnsi" w:hAnsiTheme="majorHAnsi"/>
              </w:rPr>
              <w:t>(2013, $3,250)</w:t>
            </w:r>
          </w:p>
          <w:p w14:paraId="61F761DA" w14:textId="01233D69" w:rsidR="005D59EE" w:rsidRPr="00A05C7F" w:rsidRDefault="005D59EE"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A05C7F">
              <w:rPr>
                <w:rFonts w:asciiTheme="majorHAnsi" w:hAnsiTheme="majorHAnsi"/>
              </w:rPr>
              <w:t xml:space="preserve">Cabinet Bourdon </w:t>
            </w:r>
            <w:r w:rsidR="00194C85" w:rsidRPr="00A05C7F">
              <w:rPr>
                <w:rFonts w:asciiTheme="majorHAnsi" w:hAnsiTheme="majorHAnsi"/>
              </w:rPr>
              <w:t>contract</w:t>
            </w:r>
            <w:r w:rsidR="00A05C7F" w:rsidRPr="00A05C7F">
              <w:rPr>
                <w:rFonts w:asciiTheme="majorHAnsi" w:hAnsiTheme="majorHAnsi"/>
              </w:rPr>
              <w:t>:</w:t>
            </w:r>
            <w:r w:rsidR="00A05C7F">
              <w:t xml:space="preserve"> </w:t>
            </w:r>
            <w:r w:rsidR="00A05C7F" w:rsidRPr="00A05C7F">
              <w:rPr>
                <w:rFonts w:asciiTheme="majorHAnsi" w:hAnsiTheme="majorHAnsi"/>
              </w:rPr>
              <w:t xml:space="preserve">70002420 </w:t>
            </w:r>
            <w:r w:rsidRPr="00A05C7F">
              <w:rPr>
                <w:rFonts w:asciiTheme="majorHAnsi" w:hAnsiTheme="majorHAnsi"/>
              </w:rPr>
              <w:t>(constitutional challenge)</w:t>
            </w:r>
          </w:p>
          <w:p w14:paraId="2E3C5DA5" w14:textId="629B94A3" w:rsidR="00DE2F10" w:rsidRPr="00E2007D" w:rsidRDefault="00DE2F10"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E2007D">
              <w:rPr>
                <w:rFonts w:asciiTheme="majorHAnsi" w:hAnsiTheme="majorHAnsi"/>
              </w:rPr>
              <w:t>Slim Benachour contract</w:t>
            </w:r>
            <w:r w:rsidR="001A1971" w:rsidRPr="00E2007D">
              <w:rPr>
                <w:rFonts w:asciiTheme="majorHAnsi" w:hAnsiTheme="majorHAnsi"/>
              </w:rPr>
              <w:t xml:space="preserve">: 60007063, </w:t>
            </w:r>
            <w:r w:rsidR="001A1971">
              <w:t xml:space="preserve"> </w:t>
            </w:r>
            <w:r w:rsidR="001A1971" w:rsidRPr="00E2007D">
              <w:rPr>
                <w:rFonts w:asciiTheme="majorHAnsi" w:hAnsiTheme="majorHAnsi"/>
              </w:rPr>
              <w:t xml:space="preserve">60008878 </w:t>
            </w:r>
            <w:r w:rsidRPr="00E2007D">
              <w:rPr>
                <w:rFonts w:asciiTheme="majorHAnsi" w:hAnsiTheme="majorHAnsi"/>
              </w:rPr>
              <w:t>(2012, $20,640</w:t>
            </w:r>
            <w:r w:rsidR="0067596C" w:rsidRPr="00E2007D">
              <w:rPr>
                <w:rFonts w:asciiTheme="majorHAnsi" w:hAnsiTheme="majorHAnsi"/>
              </w:rPr>
              <w:t>; 2013, $7,800</w:t>
            </w:r>
            <w:r w:rsidR="005E5039" w:rsidRPr="00E2007D">
              <w:rPr>
                <w:rFonts w:asciiTheme="majorHAnsi" w:hAnsiTheme="majorHAnsi"/>
              </w:rPr>
              <w:t>; 2014, $6,231</w:t>
            </w:r>
            <w:r w:rsidRPr="00E2007D">
              <w:rPr>
                <w:rFonts w:asciiTheme="majorHAnsi" w:hAnsiTheme="majorHAnsi"/>
              </w:rPr>
              <w:t>)</w:t>
            </w:r>
          </w:p>
          <w:p w14:paraId="0B91652F" w14:textId="77777777" w:rsidR="001A7978" w:rsidRPr="00E2007D" w:rsidRDefault="001A7978"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4C886897" w14:textId="77777777" w:rsidR="001A7978" w:rsidRPr="00E2007D" w:rsidRDefault="001A7978"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E2007D">
              <w:rPr>
                <w:rFonts w:asciiTheme="majorHAnsi" w:hAnsiTheme="majorHAnsi"/>
                <w:b/>
              </w:rPr>
              <w:t>Communications and advocacy</w:t>
            </w:r>
          </w:p>
          <w:p w14:paraId="2A195A57" w14:textId="0F807883" w:rsidR="001A7978" w:rsidRPr="001A7978" w:rsidRDefault="004E240B"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hyperlink r:id="rId24" w:history="1">
              <w:r w:rsidR="001A7978" w:rsidRPr="00006B39">
                <w:rPr>
                  <w:rStyle w:val="Hyperlink"/>
                  <w:rFonts w:asciiTheme="majorHAnsi" w:hAnsiTheme="majorHAnsi"/>
                </w:rPr>
                <w:t>Press release</w:t>
              </w:r>
            </w:hyperlink>
            <w:r w:rsidR="001A7978">
              <w:rPr>
                <w:rFonts w:asciiTheme="majorHAnsi" w:hAnsiTheme="majorHAnsi"/>
              </w:rPr>
              <w:t xml:space="preserve"> on 2015 judgments by Paris </w:t>
            </w:r>
            <w:r w:rsidR="001A7978">
              <w:rPr>
                <w:rFonts w:asciiTheme="majorHAnsi" w:hAnsiTheme="majorHAnsi"/>
              </w:rPr>
              <w:lastRenderedPageBreak/>
              <w:t>Court of Appeal</w:t>
            </w:r>
          </w:p>
        </w:tc>
        <w:tc>
          <w:tcPr>
            <w:tcW w:w="453" w:type="pct"/>
          </w:tcPr>
          <w:p w14:paraId="29AB75FA" w14:textId="102B8F9A" w:rsidR="009379DA" w:rsidRDefault="00194C85"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lastRenderedPageBreak/>
              <w:t>2009</w:t>
            </w:r>
            <w:r w:rsidR="005D59EE">
              <w:rPr>
                <w:rFonts w:asciiTheme="majorHAnsi" w:hAnsiTheme="majorHAnsi"/>
              </w:rPr>
              <w:t>-present</w:t>
            </w:r>
          </w:p>
        </w:tc>
        <w:tc>
          <w:tcPr>
            <w:tcW w:w="696" w:type="pct"/>
          </w:tcPr>
          <w:p w14:paraId="116F268C" w14:textId="77777777" w:rsidR="00194C85" w:rsidRDefault="00194C85" w:rsidP="005D59EE">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2009: $20,000</w:t>
            </w:r>
          </w:p>
          <w:p w14:paraId="31D9BE67" w14:textId="7D6BA6F9" w:rsidR="005D59EE" w:rsidRDefault="005D59EE" w:rsidP="005D59EE">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 xml:space="preserve">2010: $4,088 </w:t>
            </w:r>
          </w:p>
          <w:p w14:paraId="096A534F" w14:textId="5542D0E7" w:rsidR="005D59EE" w:rsidRDefault="005D59EE" w:rsidP="005D59EE">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2011: $</w:t>
            </w:r>
            <w:r w:rsidR="006D5FC1">
              <w:rPr>
                <w:rFonts w:asciiTheme="majorHAnsi" w:hAnsiTheme="majorHAnsi"/>
              </w:rPr>
              <w:t>44,547</w:t>
            </w:r>
          </w:p>
          <w:p w14:paraId="4F0AA1AA" w14:textId="02542C2B" w:rsidR="005D59EE" w:rsidRDefault="005D59EE" w:rsidP="005D59EE">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 xml:space="preserve">2012: </w:t>
            </w:r>
            <w:r w:rsidR="00DE2F10">
              <w:rPr>
                <w:rFonts w:asciiTheme="majorHAnsi" w:hAnsiTheme="majorHAnsi"/>
              </w:rPr>
              <w:t>$38,521</w:t>
            </w:r>
          </w:p>
          <w:p w14:paraId="4A469914" w14:textId="77777777" w:rsidR="00125FD2" w:rsidRDefault="005D59EE" w:rsidP="005D59EE">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2013:</w:t>
            </w:r>
            <w:r w:rsidR="00DE2F10">
              <w:rPr>
                <w:rFonts w:asciiTheme="majorHAnsi" w:hAnsiTheme="majorHAnsi"/>
              </w:rPr>
              <w:t xml:space="preserve"> </w:t>
            </w:r>
            <w:r w:rsidR="00DD4CD1">
              <w:rPr>
                <w:rFonts w:asciiTheme="majorHAnsi" w:hAnsiTheme="majorHAnsi"/>
              </w:rPr>
              <w:t>$18,850</w:t>
            </w:r>
          </w:p>
          <w:p w14:paraId="42348E30" w14:textId="77777777" w:rsidR="00DD4CD1" w:rsidRDefault="00DD4CD1" w:rsidP="005D59EE">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 xml:space="preserve">2014: </w:t>
            </w:r>
            <w:r w:rsidR="005E5039">
              <w:rPr>
                <w:rFonts w:asciiTheme="majorHAnsi" w:hAnsiTheme="majorHAnsi"/>
              </w:rPr>
              <w:t>$34,157</w:t>
            </w:r>
          </w:p>
          <w:p w14:paraId="753FAC83" w14:textId="77777777" w:rsidR="005E5039" w:rsidRDefault="005E5039" w:rsidP="005D59EE">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26CA1F11" w14:textId="77777777" w:rsidR="005E5039" w:rsidRDefault="005E5039" w:rsidP="005D59EE">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3316A438" w14:textId="77777777" w:rsidR="005E5039" w:rsidRDefault="005E5039" w:rsidP="005D59EE">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06A6D868" w14:textId="77777777" w:rsidR="005E5039" w:rsidRDefault="005E5039" w:rsidP="005D59EE">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49C8BC03" w14:textId="77777777" w:rsidR="005E5039" w:rsidRDefault="005E5039" w:rsidP="005D59EE">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5BA9D0E1" w14:textId="77777777" w:rsidR="00494941" w:rsidRDefault="00494941" w:rsidP="005D59EE">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34E19BB4" w14:textId="77777777" w:rsidR="005E5039" w:rsidRDefault="005E5039" w:rsidP="005D59EE">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25D49A61" w14:textId="77777777" w:rsidR="006D5FC1" w:rsidRDefault="006D5FC1" w:rsidP="005D59EE">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6833414B" w14:textId="77777777" w:rsidR="006D5FC1" w:rsidRDefault="006D5FC1" w:rsidP="005D59EE">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115CD415" w14:textId="77777777" w:rsidR="006D5FC1" w:rsidRDefault="006D5FC1" w:rsidP="005D59EE">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2016AC2E" w14:textId="77777777" w:rsidR="001A7978" w:rsidRDefault="001A7978" w:rsidP="005D59EE">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20D8365B" w14:textId="77777777" w:rsidR="001A7978" w:rsidRDefault="001A7978" w:rsidP="005D59EE">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21AA0C24" w14:textId="77777777" w:rsidR="001A7978" w:rsidRDefault="001A7978" w:rsidP="005D59EE">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13A074B5" w14:textId="77777777" w:rsidR="001A7978" w:rsidRDefault="001A7978" w:rsidP="005D59EE">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4E1F0F59" w14:textId="77777777" w:rsidR="005E5039" w:rsidRDefault="005E5039" w:rsidP="005E5039">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b/>
                <w:i/>
              </w:rPr>
            </w:pPr>
            <w:r>
              <w:rPr>
                <w:rFonts w:asciiTheme="majorHAnsi" w:hAnsiTheme="majorHAnsi"/>
                <w:b/>
                <w:i/>
              </w:rPr>
              <w:t>Sub-total:</w:t>
            </w:r>
          </w:p>
          <w:p w14:paraId="65E8D7CA" w14:textId="6F478560" w:rsidR="005E5039" w:rsidRPr="005E5039" w:rsidRDefault="006D5FC1" w:rsidP="006D5FC1">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b/>
                <w:i/>
              </w:rPr>
            </w:pPr>
            <w:r>
              <w:rPr>
                <w:rFonts w:asciiTheme="majorHAnsi" w:hAnsiTheme="majorHAnsi"/>
                <w:b/>
                <w:i/>
              </w:rPr>
              <w:t>$160</w:t>
            </w:r>
            <w:r w:rsidR="005E5039">
              <w:rPr>
                <w:rFonts w:asciiTheme="majorHAnsi" w:hAnsiTheme="majorHAnsi"/>
                <w:b/>
                <w:i/>
              </w:rPr>
              <w:t>,</w:t>
            </w:r>
            <w:r>
              <w:rPr>
                <w:rFonts w:asciiTheme="majorHAnsi" w:hAnsiTheme="majorHAnsi"/>
                <w:b/>
                <w:i/>
              </w:rPr>
              <w:t>163</w:t>
            </w:r>
          </w:p>
        </w:tc>
        <w:tc>
          <w:tcPr>
            <w:tcW w:w="1374" w:type="pct"/>
          </w:tcPr>
          <w:p w14:paraId="30AB42D7" w14:textId="68B7BFC4" w:rsidR="00125FD2" w:rsidRPr="00AD172A" w:rsidRDefault="009379DA" w:rsidP="001471C2">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Between 2010 and 2013, the Justice Initiative developed and launched domestic-level cases challenging discrimination in Germany and France. The French intervention tackled the problem of e</w:t>
            </w:r>
            <w:r w:rsidR="001471C2">
              <w:rPr>
                <w:rFonts w:asciiTheme="majorHAnsi" w:hAnsiTheme="majorHAnsi"/>
              </w:rPr>
              <w:t>thnic profiling by French police</w:t>
            </w:r>
            <w:r>
              <w:rPr>
                <w:rFonts w:asciiTheme="majorHAnsi" w:hAnsiTheme="majorHAnsi"/>
              </w:rPr>
              <w:t xml:space="preserve">, which we had already explored in our report: </w:t>
            </w:r>
            <w:hyperlink r:id="rId25" w:history="1">
              <w:r w:rsidRPr="009C17BA">
                <w:rPr>
                  <w:rStyle w:val="Hyperlink"/>
                  <w:rFonts w:asciiTheme="majorHAnsi" w:hAnsiTheme="majorHAnsi"/>
                </w:rPr>
                <w:t>Profiling Minorities</w:t>
              </w:r>
            </w:hyperlink>
            <w:r>
              <w:rPr>
                <w:rFonts w:asciiTheme="majorHAnsi" w:hAnsiTheme="majorHAnsi"/>
              </w:rPr>
              <w:t>. From 2013 to the present, the French profiling litigation formed part of a unified project dedicated to achieving fair and effective policing, in Europe and beyond.</w:t>
            </w:r>
            <w:r w:rsidR="00494941">
              <w:rPr>
                <w:rFonts w:asciiTheme="majorHAnsi" w:hAnsiTheme="majorHAnsi"/>
              </w:rPr>
              <w:t xml:space="preserve"> </w:t>
            </w:r>
            <w:r w:rsidR="001471C2">
              <w:rPr>
                <w:rFonts w:asciiTheme="majorHAnsi" w:hAnsiTheme="majorHAnsi"/>
              </w:rPr>
              <w:t xml:space="preserve">Spending and activities captured here are therefore artificially bisected from the advocacy and campaigning work that has taken place in connection with </w:t>
            </w:r>
            <w:hyperlink r:id="rId26" w:history="1">
              <w:r w:rsidR="001471C2" w:rsidRPr="005E0583">
                <w:rPr>
                  <w:rStyle w:val="Hyperlink"/>
                  <w:rFonts w:asciiTheme="majorHAnsi" w:hAnsiTheme="majorHAnsi"/>
                </w:rPr>
                <w:t>Justice Initiative and OSIFE policing projects</w:t>
              </w:r>
            </w:hyperlink>
            <w:r w:rsidR="001471C2">
              <w:rPr>
                <w:rFonts w:asciiTheme="majorHAnsi" w:hAnsiTheme="majorHAnsi"/>
              </w:rPr>
              <w:t xml:space="preserve"> in France. In</w:t>
            </w:r>
            <w:r w:rsidR="00374C3B">
              <w:rPr>
                <w:rFonts w:asciiTheme="majorHAnsi" w:hAnsiTheme="majorHAnsi"/>
              </w:rPr>
              <w:t xml:space="preserve"> June 2015, the Paris Court of Appeal found in favor of five of the </w:t>
            </w:r>
            <w:r w:rsidR="00374C3B">
              <w:rPr>
                <w:rFonts w:asciiTheme="majorHAnsi" w:hAnsiTheme="majorHAnsi"/>
              </w:rPr>
              <w:lastRenderedPageBreak/>
              <w:t>plaintiffs, declaring the stops discriminatory and awarding compensation.</w:t>
            </w:r>
          </w:p>
        </w:tc>
      </w:tr>
      <w:tr w:rsidR="001E250C" w:rsidRPr="00AD172A" w14:paraId="2481191C" w14:textId="77777777" w:rsidTr="004A0700">
        <w:tc>
          <w:tcPr>
            <w:cnfStyle w:val="001000000000" w:firstRow="0" w:lastRow="0" w:firstColumn="1" w:lastColumn="0" w:oddVBand="0" w:evenVBand="0" w:oddHBand="0" w:evenHBand="0" w:firstRowFirstColumn="0" w:firstRowLastColumn="0" w:lastRowFirstColumn="0" w:lastRowLastColumn="0"/>
            <w:tcW w:w="815" w:type="pct"/>
          </w:tcPr>
          <w:p w14:paraId="0D69EA0F" w14:textId="469DE99A" w:rsidR="001E250C" w:rsidRPr="001E250C" w:rsidRDefault="004E240B" w:rsidP="00026532">
            <w:pPr>
              <w:rPr>
                <w:rFonts w:asciiTheme="majorHAnsi" w:hAnsiTheme="majorHAnsi"/>
                <w:b w:val="0"/>
              </w:rPr>
            </w:pPr>
            <w:hyperlink r:id="rId27" w:history="1">
              <w:r w:rsidR="001E250C" w:rsidRPr="001E250C">
                <w:rPr>
                  <w:rStyle w:val="Hyperlink"/>
                  <w:rFonts w:asciiTheme="majorHAnsi" w:hAnsiTheme="majorHAnsi"/>
                  <w:b w:val="0"/>
                  <w:bCs w:val="0"/>
                </w:rPr>
                <w:t>Profiling Minorities: A Study of Stop and Search Practices in Paris</w:t>
              </w:r>
            </w:hyperlink>
            <w:r w:rsidR="001E250C">
              <w:rPr>
                <w:rFonts w:asciiTheme="majorHAnsi" w:hAnsiTheme="majorHAnsi"/>
                <w:b w:val="0"/>
              </w:rPr>
              <w:t xml:space="preserve"> (Report, 2009)</w:t>
            </w:r>
          </w:p>
        </w:tc>
        <w:tc>
          <w:tcPr>
            <w:tcW w:w="1662" w:type="pct"/>
          </w:tcPr>
          <w:p w14:paraId="05BF18FC" w14:textId="77777777" w:rsidR="001E250C" w:rsidRDefault="00145971"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b/>
              </w:rPr>
            </w:pPr>
            <w:r>
              <w:rPr>
                <w:rFonts w:asciiTheme="majorHAnsi" w:hAnsiTheme="majorHAnsi"/>
                <w:b/>
              </w:rPr>
              <w:t>Organizational</w:t>
            </w:r>
            <w:r w:rsidR="00D66D7D">
              <w:rPr>
                <w:rFonts w:asciiTheme="majorHAnsi" w:hAnsiTheme="majorHAnsi"/>
                <w:b/>
              </w:rPr>
              <w:t xml:space="preserve"> consultancy</w:t>
            </w:r>
          </w:p>
          <w:p w14:paraId="3344EE08" w14:textId="0F2E2F8D" w:rsidR="00145971" w:rsidRPr="00145971" w:rsidRDefault="00145971"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Lamberth Consulting</w:t>
            </w:r>
          </w:p>
        </w:tc>
        <w:tc>
          <w:tcPr>
            <w:tcW w:w="453" w:type="pct"/>
          </w:tcPr>
          <w:p w14:paraId="766C85AA" w14:textId="79E2E9F1" w:rsidR="001E250C" w:rsidRDefault="005D59EE"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200</w:t>
            </w:r>
            <w:r w:rsidR="00145971">
              <w:rPr>
                <w:rFonts w:asciiTheme="majorHAnsi" w:hAnsiTheme="majorHAnsi"/>
              </w:rPr>
              <w:t>8-0</w:t>
            </w:r>
            <w:r>
              <w:rPr>
                <w:rFonts w:asciiTheme="majorHAnsi" w:hAnsiTheme="majorHAnsi"/>
              </w:rPr>
              <w:t>9</w:t>
            </w:r>
          </w:p>
        </w:tc>
        <w:tc>
          <w:tcPr>
            <w:tcW w:w="696" w:type="pct"/>
          </w:tcPr>
          <w:p w14:paraId="2F56BB58" w14:textId="77777777" w:rsidR="001E250C" w:rsidRDefault="00BA72AB"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 xml:space="preserve">2008: </w:t>
            </w:r>
            <w:r w:rsidR="00145971">
              <w:rPr>
                <w:rFonts w:asciiTheme="majorHAnsi" w:hAnsiTheme="majorHAnsi"/>
              </w:rPr>
              <w:t>$41,730</w:t>
            </w:r>
          </w:p>
          <w:p w14:paraId="482039A4" w14:textId="08D318BD" w:rsidR="006579BD" w:rsidRDefault="00BA72AB"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2009: $10,000</w:t>
            </w:r>
          </w:p>
          <w:p w14:paraId="1489FA63" w14:textId="77777777" w:rsidR="00D9611E" w:rsidRDefault="00D9611E"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0C5761F6" w14:textId="77777777" w:rsidR="00D9611E" w:rsidRDefault="00D9611E"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0F55E479" w14:textId="77777777" w:rsidR="00D9611E" w:rsidRDefault="00D9611E"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6D2AC215" w14:textId="77777777" w:rsidR="00D9611E" w:rsidRDefault="00D9611E"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1C648E73" w14:textId="77777777" w:rsidR="00D9611E" w:rsidRDefault="00D9611E"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175024AB" w14:textId="77777777" w:rsidR="006579BD" w:rsidRPr="00581CC0" w:rsidRDefault="006579BD" w:rsidP="006579BD">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b/>
                <w:i/>
              </w:rPr>
            </w:pPr>
            <w:r w:rsidRPr="00581CC0">
              <w:rPr>
                <w:rFonts w:asciiTheme="majorHAnsi" w:hAnsiTheme="majorHAnsi"/>
                <w:b/>
                <w:i/>
              </w:rPr>
              <w:t>Sub-total:</w:t>
            </w:r>
          </w:p>
          <w:p w14:paraId="3C50C604" w14:textId="2AC3E5D9" w:rsidR="006579BD" w:rsidRPr="00AD172A" w:rsidRDefault="006579BD" w:rsidP="006579BD">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581CC0">
              <w:rPr>
                <w:rFonts w:asciiTheme="majorHAnsi" w:hAnsiTheme="majorHAnsi"/>
                <w:b/>
                <w:i/>
              </w:rPr>
              <w:t>$51,730</w:t>
            </w:r>
          </w:p>
        </w:tc>
        <w:tc>
          <w:tcPr>
            <w:tcW w:w="1374" w:type="pct"/>
          </w:tcPr>
          <w:p w14:paraId="01C959A7" w14:textId="31747C51" w:rsidR="001E250C" w:rsidRDefault="00CE7011" w:rsidP="00CE7011">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Like the Moscow metro study, this report published research tracking and recording ethnic profiling by the police in Paris.</w:t>
            </w:r>
            <w:r w:rsidR="00494941">
              <w:rPr>
                <w:rFonts w:asciiTheme="majorHAnsi" w:hAnsiTheme="majorHAnsi"/>
              </w:rPr>
              <w:t xml:space="preserve"> The Paris study </w:t>
            </w:r>
            <w:r w:rsidR="00494941" w:rsidRPr="00494941">
              <w:rPr>
                <w:rFonts w:asciiTheme="majorHAnsi" w:hAnsiTheme="majorHAnsi"/>
              </w:rPr>
              <w:t>demonstrated that individuals identified as “Blacks” and “North Africans” are checked respectively six and eight times more than “Whites.”</w:t>
            </w:r>
          </w:p>
        </w:tc>
      </w:tr>
      <w:tr w:rsidR="00E26BF4" w:rsidRPr="00AD172A" w14:paraId="1787DC63" w14:textId="77777777" w:rsidTr="00D13015">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D99594" w:themeFill="accent2" w:themeFillTint="99"/>
          </w:tcPr>
          <w:p w14:paraId="07AD1EEB" w14:textId="789B70A9" w:rsidR="00E26BF4" w:rsidRPr="00AD172A" w:rsidRDefault="00E26BF4" w:rsidP="00E26BF4">
            <w:pPr>
              <w:jc w:val="center"/>
              <w:rPr>
                <w:rFonts w:asciiTheme="majorHAnsi" w:hAnsiTheme="majorHAnsi"/>
              </w:rPr>
            </w:pPr>
            <w:r>
              <w:rPr>
                <w:rFonts w:asciiTheme="majorHAnsi" w:hAnsiTheme="majorHAnsi"/>
              </w:rPr>
              <w:t>GERMANY</w:t>
            </w:r>
          </w:p>
        </w:tc>
      </w:tr>
      <w:tr w:rsidR="00125FD2" w:rsidRPr="00AD172A" w14:paraId="258C2902" w14:textId="77777777" w:rsidTr="004A0700">
        <w:tc>
          <w:tcPr>
            <w:cnfStyle w:val="001000000000" w:firstRow="0" w:lastRow="0" w:firstColumn="1" w:lastColumn="0" w:oddVBand="0" w:evenVBand="0" w:oddHBand="0" w:evenHBand="0" w:firstRowFirstColumn="0" w:firstRowLastColumn="0" w:lastRowFirstColumn="0" w:lastRowLastColumn="0"/>
            <w:tcW w:w="815" w:type="pct"/>
          </w:tcPr>
          <w:p w14:paraId="521E9296" w14:textId="77777777" w:rsidR="006A0160" w:rsidRPr="00582FAF" w:rsidRDefault="004E240B" w:rsidP="00E26BF4">
            <w:pPr>
              <w:rPr>
                <w:rFonts w:asciiTheme="majorHAnsi" w:hAnsiTheme="majorHAnsi"/>
                <w:b w:val="0"/>
              </w:rPr>
            </w:pPr>
            <w:hyperlink r:id="rId28" w:history="1">
              <w:r w:rsidR="00582FAF" w:rsidRPr="00582FAF">
                <w:rPr>
                  <w:rStyle w:val="Hyperlink"/>
                  <w:rFonts w:asciiTheme="majorHAnsi" w:hAnsiTheme="majorHAnsi"/>
                  <w:b w:val="0"/>
                  <w:bCs w:val="0"/>
                  <w:i/>
                </w:rPr>
                <w:t>Domestic Headscarf Ban</w:t>
              </w:r>
            </w:hyperlink>
            <w:r w:rsidR="00582FAF">
              <w:rPr>
                <w:rFonts w:asciiTheme="majorHAnsi" w:hAnsiTheme="majorHAnsi"/>
                <w:b w:val="0"/>
                <w:i/>
              </w:rPr>
              <w:t xml:space="preserve"> </w:t>
            </w:r>
            <w:r w:rsidR="00582FAF">
              <w:rPr>
                <w:rFonts w:asciiTheme="majorHAnsi" w:hAnsiTheme="majorHAnsi"/>
                <w:b w:val="0"/>
              </w:rPr>
              <w:t>(German Federal Constitutional Court: amicus 2012; decision 2015)</w:t>
            </w:r>
          </w:p>
        </w:tc>
        <w:tc>
          <w:tcPr>
            <w:tcW w:w="1662" w:type="pct"/>
          </w:tcPr>
          <w:p w14:paraId="79EA6F69" w14:textId="45D18705" w:rsidR="006A0160" w:rsidRPr="00AD172A" w:rsidRDefault="006579BD"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w:t>
            </w:r>
          </w:p>
        </w:tc>
        <w:tc>
          <w:tcPr>
            <w:tcW w:w="453" w:type="pct"/>
          </w:tcPr>
          <w:p w14:paraId="31C11711" w14:textId="2548EEB4" w:rsidR="006A0160" w:rsidRPr="00AD172A" w:rsidRDefault="00194C85"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2010</w:t>
            </w:r>
            <w:r w:rsidR="0034423F">
              <w:rPr>
                <w:rFonts w:asciiTheme="majorHAnsi" w:hAnsiTheme="majorHAnsi"/>
              </w:rPr>
              <w:t>-2012</w:t>
            </w:r>
          </w:p>
        </w:tc>
        <w:tc>
          <w:tcPr>
            <w:tcW w:w="696" w:type="pct"/>
          </w:tcPr>
          <w:p w14:paraId="579EADD5" w14:textId="38559212" w:rsidR="006A0160" w:rsidRPr="00AD172A" w:rsidRDefault="006579BD"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w:t>
            </w:r>
          </w:p>
        </w:tc>
        <w:tc>
          <w:tcPr>
            <w:tcW w:w="1374" w:type="pct"/>
          </w:tcPr>
          <w:p w14:paraId="7D7FA93B" w14:textId="3FCBB3BD" w:rsidR="006A0160" w:rsidRPr="00AD172A" w:rsidRDefault="00CE7011" w:rsidP="00CE7011">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CE7011">
              <w:rPr>
                <w:rFonts w:asciiTheme="majorHAnsi" w:hAnsiTheme="majorHAnsi"/>
              </w:rPr>
              <w:t xml:space="preserve">The Justice Initiative submitted </w:t>
            </w:r>
            <w:r>
              <w:rPr>
                <w:rFonts w:asciiTheme="majorHAnsi" w:hAnsiTheme="majorHAnsi"/>
              </w:rPr>
              <w:t xml:space="preserve">third party </w:t>
            </w:r>
            <w:r w:rsidRPr="00CE7011">
              <w:rPr>
                <w:rFonts w:asciiTheme="majorHAnsi" w:hAnsiTheme="majorHAnsi"/>
              </w:rPr>
              <w:t xml:space="preserve">observations to the </w:t>
            </w:r>
            <w:r>
              <w:rPr>
                <w:rFonts w:asciiTheme="majorHAnsi" w:hAnsiTheme="majorHAnsi"/>
              </w:rPr>
              <w:t xml:space="preserve">German </w:t>
            </w:r>
            <w:r w:rsidR="00511D23">
              <w:rPr>
                <w:rFonts w:asciiTheme="majorHAnsi" w:hAnsiTheme="majorHAnsi"/>
              </w:rPr>
              <w:t xml:space="preserve">Federal </w:t>
            </w:r>
            <w:r w:rsidRPr="00CE7011">
              <w:rPr>
                <w:rFonts w:asciiTheme="majorHAnsi" w:hAnsiTheme="majorHAnsi"/>
              </w:rPr>
              <w:t>Co</w:t>
            </w:r>
            <w:r w:rsidR="00511D23">
              <w:rPr>
                <w:rFonts w:asciiTheme="majorHAnsi" w:hAnsiTheme="majorHAnsi"/>
              </w:rPr>
              <w:t>nstitutional Court (FCC) arguing that the state of North Rhine-Westphalia’s</w:t>
            </w:r>
            <w:r w:rsidRPr="00CE7011">
              <w:rPr>
                <w:rFonts w:asciiTheme="majorHAnsi" w:hAnsiTheme="majorHAnsi"/>
              </w:rPr>
              <w:t xml:space="preserve"> ban </w:t>
            </w:r>
            <w:r>
              <w:rPr>
                <w:rFonts w:asciiTheme="majorHAnsi" w:hAnsiTheme="majorHAnsi"/>
              </w:rPr>
              <w:t xml:space="preserve">on wearing non-Western religious dress in German schools </w:t>
            </w:r>
            <w:r w:rsidRPr="00CE7011">
              <w:rPr>
                <w:rFonts w:asciiTheme="majorHAnsi" w:hAnsiTheme="majorHAnsi"/>
              </w:rPr>
              <w:t>violates European Union equality legislation as well as the prohibition on discrimination under the European Convention on Human Rights.</w:t>
            </w:r>
            <w:r w:rsidR="00511D23">
              <w:rPr>
                <w:rFonts w:asciiTheme="majorHAnsi" w:hAnsiTheme="majorHAnsi"/>
              </w:rPr>
              <w:t xml:space="preserve"> The FCC struck down the law in a March 2015 decision.</w:t>
            </w:r>
          </w:p>
        </w:tc>
      </w:tr>
      <w:tr w:rsidR="005B066D" w:rsidRPr="00AD172A" w14:paraId="0C0DECE8" w14:textId="77777777" w:rsidTr="004A0700">
        <w:tc>
          <w:tcPr>
            <w:cnfStyle w:val="001000000000" w:firstRow="0" w:lastRow="0" w:firstColumn="1" w:lastColumn="0" w:oddVBand="0" w:evenVBand="0" w:oddHBand="0" w:evenHBand="0" w:firstRowFirstColumn="0" w:firstRowLastColumn="0" w:lastRowFirstColumn="0" w:lastRowLastColumn="0"/>
            <w:tcW w:w="815" w:type="pct"/>
          </w:tcPr>
          <w:p w14:paraId="0D0DECD9" w14:textId="77777777" w:rsidR="009B1415" w:rsidRPr="00212D74" w:rsidRDefault="009B1415" w:rsidP="00212D74">
            <w:pPr>
              <w:rPr>
                <w:rFonts w:asciiTheme="majorHAnsi" w:hAnsiTheme="majorHAnsi"/>
                <w:b w:val="0"/>
              </w:rPr>
            </w:pPr>
            <w:r w:rsidRPr="00212D74">
              <w:rPr>
                <w:rFonts w:asciiTheme="majorHAnsi" w:hAnsiTheme="majorHAnsi"/>
                <w:i/>
              </w:rPr>
              <w:t>Cicek</w:t>
            </w:r>
            <w:r w:rsidR="00212D74" w:rsidRPr="00212D74">
              <w:rPr>
                <w:rFonts w:asciiTheme="majorHAnsi" w:hAnsiTheme="majorHAnsi"/>
                <w:i/>
              </w:rPr>
              <w:t xml:space="preserve"> v. </w:t>
            </w:r>
            <w:r w:rsidR="00212D74">
              <w:rPr>
                <w:rFonts w:asciiTheme="majorHAnsi" w:hAnsiTheme="majorHAnsi"/>
                <w:i/>
              </w:rPr>
              <w:t xml:space="preserve">Lübeck Education Authority </w:t>
            </w:r>
            <w:r w:rsidR="00212D74">
              <w:rPr>
                <w:rFonts w:asciiTheme="majorHAnsi" w:hAnsiTheme="majorHAnsi"/>
                <w:b w:val="0"/>
              </w:rPr>
              <w:t>(2010)</w:t>
            </w:r>
          </w:p>
        </w:tc>
        <w:tc>
          <w:tcPr>
            <w:tcW w:w="1662" w:type="pct"/>
          </w:tcPr>
          <w:p w14:paraId="6A44005E" w14:textId="77777777" w:rsidR="00D66D7D" w:rsidRPr="00D66D7D" w:rsidRDefault="00D66D7D" w:rsidP="009B1415">
            <w:pPr>
              <w:cnfStyle w:val="000000000000" w:firstRow="0" w:lastRow="0" w:firstColumn="0" w:lastColumn="0" w:oddVBand="0" w:evenVBand="0" w:oddHBand="0" w:evenHBand="0" w:firstRowFirstColumn="0" w:firstRowLastColumn="0" w:lastRowFirstColumn="0" w:lastRowLastColumn="0"/>
              <w:rPr>
                <w:rFonts w:asciiTheme="majorHAnsi" w:hAnsiTheme="majorHAnsi"/>
                <w:b/>
              </w:rPr>
            </w:pPr>
            <w:r>
              <w:rPr>
                <w:rFonts w:asciiTheme="majorHAnsi" w:hAnsiTheme="majorHAnsi"/>
                <w:b/>
              </w:rPr>
              <w:t>Organizational consultancy</w:t>
            </w:r>
          </w:p>
          <w:p w14:paraId="4DCF178D" w14:textId="77777777" w:rsidR="009B1415" w:rsidRPr="00AD172A" w:rsidRDefault="009B1415" w:rsidP="009B1415">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9B1415">
              <w:rPr>
                <w:rFonts w:asciiTheme="majorHAnsi" w:hAnsiTheme="majorHAnsi"/>
              </w:rPr>
              <w:t>Kanzlei Mensche und Rechten</w:t>
            </w:r>
            <w:r w:rsidR="00212D74">
              <w:rPr>
                <w:rFonts w:asciiTheme="majorHAnsi" w:hAnsiTheme="majorHAnsi"/>
              </w:rPr>
              <w:t xml:space="preserve"> (Oliver Tolmein)</w:t>
            </w:r>
            <w:r w:rsidRPr="009B1415">
              <w:rPr>
                <w:rFonts w:asciiTheme="majorHAnsi" w:hAnsiTheme="majorHAnsi"/>
              </w:rPr>
              <w:t xml:space="preserve"> contract: 70002884</w:t>
            </w:r>
            <w:r w:rsidR="005D59EE">
              <w:rPr>
                <w:rFonts w:asciiTheme="majorHAnsi" w:hAnsiTheme="majorHAnsi"/>
              </w:rPr>
              <w:t xml:space="preserve"> (2010</w:t>
            </w:r>
            <w:r>
              <w:rPr>
                <w:rFonts w:asciiTheme="majorHAnsi" w:hAnsiTheme="majorHAnsi"/>
              </w:rPr>
              <w:t>-12, LRA)</w:t>
            </w:r>
          </w:p>
        </w:tc>
        <w:tc>
          <w:tcPr>
            <w:tcW w:w="453" w:type="pct"/>
          </w:tcPr>
          <w:p w14:paraId="1CC74A4D" w14:textId="77777777" w:rsidR="009B1415" w:rsidRPr="00AD172A" w:rsidRDefault="0034423F" w:rsidP="0034423F">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2010-12</w:t>
            </w:r>
          </w:p>
        </w:tc>
        <w:tc>
          <w:tcPr>
            <w:tcW w:w="696" w:type="pct"/>
          </w:tcPr>
          <w:p w14:paraId="247A29CA" w14:textId="77777777" w:rsidR="009B1415" w:rsidRDefault="005D59EE"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2010: $20,872</w:t>
            </w:r>
          </w:p>
          <w:p w14:paraId="455AD96E" w14:textId="77777777" w:rsidR="005D59EE" w:rsidRDefault="005D59EE"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2011:</w:t>
            </w:r>
            <w:r w:rsidR="001678CE">
              <w:rPr>
                <w:rFonts w:asciiTheme="majorHAnsi" w:hAnsiTheme="majorHAnsi"/>
              </w:rPr>
              <w:t xml:space="preserve"> $2,329</w:t>
            </w:r>
          </w:p>
          <w:p w14:paraId="3B1DA19D" w14:textId="77777777" w:rsidR="00BC7977" w:rsidRDefault="00BC7977"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2012: $1,340</w:t>
            </w:r>
          </w:p>
          <w:p w14:paraId="4A2CA783" w14:textId="77777777" w:rsidR="00BC7977" w:rsidRDefault="00BC7977"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45BD37F2" w14:textId="77777777" w:rsidR="00BC7977" w:rsidRPr="00581CC0" w:rsidRDefault="00BC7977" w:rsidP="00BC7977">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b/>
                <w:i/>
              </w:rPr>
            </w:pPr>
            <w:r w:rsidRPr="00581CC0">
              <w:rPr>
                <w:rFonts w:asciiTheme="majorHAnsi" w:hAnsiTheme="majorHAnsi"/>
                <w:b/>
                <w:i/>
              </w:rPr>
              <w:t>Sub-total:</w:t>
            </w:r>
          </w:p>
          <w:p w14:paraId="7DA1FE99" w14:textId="6CFB7264" w:rsidR="00BC7977" w:rsidRPr="00BC7977" w:rsidRDefault="00BC7977" w:rsidP="00BC7977">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b/>
              </w:rPr>
            </w:pPr>
            <w:r w:rsidRPr="00581CC0">
              <w:rPr>
                <w:rFonts w:asciiTheme="majorHAnsi" w:hAnsiTheme="majorHAnsi"/>
                <w:b/>
                <w:i/>
              </w:rPr>
              <w:t>$22,212</w:t>
            </w:r>
          </w:p>
        </w:tc>
        <w:tc>
          <w:tcPr>
            <w:tcW w:w="1374" w:type="pct"/>
          </w:tcPr>
          <w:p w14:paraId="4AB13A14" w14:textId="5DC6655F" w:rsidR="009B1415" w:rsidRPr="00AD172A" w:rsidRDefault="00CE7011" w:rsidP="00511D23">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4A4F87">
              <w:rPr>
                <w:rFonts w:asciiTheme="majorHAnsi" w:hAnsiTheme="majorHAnsi"/>
              </w:rPr>
              <w:t>This case challenged the practice of separate schooling for children with disabilities</w:t>
            </w:r>
            <w:r w:rsidR="00511D23" w:rsidRPr="004A4F87">
              <w:rPr>
                <w:rFonts w:asciiTheme="majorHAnsi" w:hAnsiTheme="majorHAnsi"/>
              </w:rPr>
              <w:t xml:space="preserve"> in Lübek, Germany</w:t>
            </w:r>
            <w:r w:rsidRPr="004A4F87">
              <w:rPr>
                <w:rFonts w:asciiTheme="majorHAnsi" w:hAnsiTheme="majorHAnsi"/>
              </w:rPr>
              <w:t>.</w:t>
            </w:r>
            <w:r w:rsidR="00511D23" w:rsidRPr="004A4F87">
              <w:rPr>
                <w:rFonts w:asciiTheme="majorHAnsi" w:hAnsiTheme="majorHAnsi"/>
              </w:rPr>
              <w:t xml:space="preserve"> The case settled when authorities agreed to a placement in a mainstream school.</w:t>
            </w:r>
          </w:p>
        </w:tc>
      </w:tr>
      <w:tr w:rsidR="00DF4215" w:rsidRPr="00AD172A" w14:paraId="3D392E2A" w14:textId="77777777" w:rsidTr="004A0700">
        <w:tc>
          <w:tcPr>
            <w:cnfStyle w:val="001000000000" w:firstRow="0" w:lastRow="0" w:firstColumn="1" w:lastColumn="0" w:oddVBand="0" w:evenVBand="0" w:oddHBand="0" w:evenHBand="0" w:firstRowFirstColumn="0" w:firstRowLastColumn="0" w:lastRowFirstColumn="0" w:lastRowLastColumn="0"/>
            <w:tcW w:w="815" w:type="pct"/>
          </w:tcPr>
          <w:p w14:paraId="0D463961" w14:textId="071813F6" w:rsidR="00750FAC" w:rsidRPr="00750FAC" w:rsidRDefault="004E240B" w:rsidP="005B066D">
            <w:pPr>
              <w:rPr>
                <w:rFonts w:asciiTheme="majorHAnsi" w:hAnsiTheme="majorHAnsi"/>
                <w:b w:val="0"/>
              </w:rPr>
            </w:pPr>
            <w:hyperlink r:id="rId29" w:history="1">
              <w:r w:rsidR="00750FAC" w:rsidRPr="00750FAC">
                <w:rPr>
                  <w:rStyle w:val="Hyperlink"/>
                  <w:rFonts w:asciiTheme="majorHAnsi" w:hAnsiTheme="majorHAnsi"/>
                  <w:bCs w:val="0"/>
                  <w:i/>
                </w:rPr>
                <w:t>Y</w:t>
              </w:r>
              <w:r w:rsidR="005B066D">
                <w:rPr>
                  <w:rStyle w:val="Hyperlink"/>
                  <w:rFonts w:asciiTheme="majorHAnsi" w:hAnsiTheme="majorHAnsi"/>
                  <w:bCs w:val="0"/>
                  <w:i/>
                </w:rPr>
                <w:t>.</w:t>
              </w:r>
              <w:r w:rsidR="00750FAC" w:rsidRPr="00750FAC">
                <w:rPr>
                  <w:rStyle w:val="Hyperlink"/>
                  <w:rFonts w:asciiTheme="majorHAnsi" w:hAnsiTheme="majorHAnsi"/>
                  <w:bCs w:val="0"/>
                  <w:i/>
                </w:rPr>
                <w:t>, T</w:t>
              </w:r>
              <w:r w:rsidR="005B066D">
                <w:rPr>
                  <w:rStyle w:val="Hyperlink"/>
                  <w:rFonts w:asciiTheme="majorHAnsi" w:hAnsiTheme="majorHAnsi"/>
                  <w:bCs w:val="0"/>
                  <w:i/>
                </w:rPr>
                <w:t>.</w:t>
              </w:r>
              <w:r w:rsidR="00750FAC" w:rsidRPr="00750FAC">
                <w:rPr>
                  <w:rStyle w:val="Hyperlink"/>
                  <w:rFonts w:asciiTheme="majorHAnsi" w:hAnsiTheme="majorHAnsi"/>
                  <w:bCs w:val="0"/>
                  <w:i/>
                </w:rPr>
                <w:t xml:space="preserve"> and A</w:t>
              </w:r>
              <w:r w:rsidR="005B066D">
                <w:rPr>
                  <w:rStyle w:val="Hyperlink"/>
                  <w:rFonts w:asciiTheme="majorHAnsi" w:hAnsiTheme="majorHAnsi"/>
                  <w:bCs w:val="0"/>
                  <w:i/>
                </w:rPr>
                <w:t>.</w:t>
              </w:r>
              <w:r w:rsidR="00750FAC" w:rsidRPr="00750FAC">
                <w:rPr>
                  <w:rStyle w:val="Hyperlink"/>
                  <w:rFonts w:asciiTheme="majorHAnsi" w:hAnsiTheme="majorHAnsi"/>
                  <w:bCs w:val="0"/>
                  <w:i/>
                </w:rPr>
                <w:t xml:space="preserve"> v. Berlin Education Authority</w:t>
              </w:r>
            </w:hyperlink>
            <w:r w:rsidR="00750FAC" w:rsidRPr="00750FAC">
              <w:rPr>
                <w:rFonts w:asciiTheme="majorHAnsi" w:hAnsiTheme="majorHAnsi"/>
                <w:i/>
              </w:rPr>
              <w:t xml:space="preserve"> </w:t>
            </w:r>
            <w:r w:rsidR="00750FAC">
              <w:rPr>
                <w:rFonts w:asciiTheme="majorHAnsi" w:hAnsiTheme="majorHAnsi"/>
                <w:b w:val="0"/>
              </w:rPr>
              <w:t xml:space="preserve">(first instance </w:t>
            </w:r>
            <w:r w:rsidR="005B066D">
              <w:rPr>
                <w:rFonts w:asciiTheme="majorHAnsi" w:hAnsiTheme="majorHAnsi"/>
                <w:b w:val="0"/>
              </w:rPr>
              <w:t xml:space="preserve">Berlin </w:t>
            </w:r>
            <w:r w:rsidR="00750FAC">
              <w:rPr>
                <w:rFonts w:asciiTheme="majorHAnsi" w:hAnsiTheme="majorHAnsi"/>
                <w:b w:val="0"/>
              </w:rPr>
              <w:lastRenderedPageBreak/>
              <w:t>administrative court: filed 2012, dismissed 2013)</w:t>
            </w:r>
          </w:p>
        </w:tc>
        <w:tc>
          <w:tcPr>
            <w:tcW w:w="1662" w:type="pct"/>
          </w:tcPr>
          <w:p w14:paraId="5A140173" w14:textId="77777777" w:rsidR="00D66D7D" w:rsidRPr="001678CE" w:rsidRDefault="00D66D7D" w:rsidP="00750FAC">
            <w:pPr>
              <w:cnfStyle w:val="000000000000" w:firstRow="0" w:lastRow="0" w:firstColumn="0" w:lastColumn="0" w:oddVBand="0" w:evenVBand="0" w:oddHBand="0" w:evenHBand="0" w:firstRowFirstColumn="0" w:firstRowLastColumn="0" w:lastRowFirstColumn="0" w:lastRowLastColumn="0"/>
              <w:rPr>
                <w:rFonts w:asciiTheme="majorHAnsi" w:hAnsiTheme="majorHAnsi"/>
                <w:b/>
                <w:sz w:val="20"/>
                <w:szCs w:val="20"/>
              </w:rPr>
            </w:pPr>
            <w:r w:rsidRPr="001678CE">
              <w:rPr>
                <w:rFonts w:asciiTheme="majorHAnsi" w:hAnsiTheme="majorHAnsi"/>
                <w:b/>
                <w:sz w:val="20"/>
                <w:szCs w:val="20"/>
              </w:rPr>
              <w:lastRenderedPageBreak/>
              <w:t>Grants</w:t>
            </w:r>
          </w:p>
          <w:p w14:paraId="4C886FFE" w14:textId="4BEE64F0" w:rsidR="001E250C" w:rsidRPr="001678CE" w:rsidRDefault="001E250C" w:rsidP="00750FAC">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1678CE">
              <w:rPr>
                <w:rFonts w:asciiTheme="majorHAnsi" w:hAnsiTheme="majorHAnsi"/>
                <w:sz w:val="20"/>
                <w:szCs w:val="20"/>
              </w:rPr>
              <w:t xml:space="preserve">Institute for Migration and Racism Research (iMiR) 2011: </w:t>
            </w:r>
            <w:r w:rsidR="00635979">
              <w:t xml:space="preserve"> </w:t>
            </w:r>
            <w:hyperlink r:id="rId30" w:history="1">
              <w:r w:rsidR="00635979" w:rsidRPr="004C29BE">
                <w:rPr>
                  <w:rStyle w:val="Hyperlink"/>
                  <w:rFonts w:asciiTheme="majorHAnsi" w:hAnsiTheme="majorHAnsi"/>
                  <w:sz w:val="20"/>
                  <w:szCs w:val="20"/>
                </w:rPr>
                <w:t>OR2011-31476</w:t>
              </w:r>
            </w:hyperlink>
            <w:r w:rsidR="00635979" w:rsidRPr="00635979">
              <w:rPr>
                <w:rFonts w:asciiTheme="majorHAnsi" w:hAnsiTheme="majorHAnsi"/>
                <w:sz w:val="20"/>
                <w:szCs w:val="20"/>
              </w:rPr>
              <w:t xml:space="preserve"> </w:t>
            </w:r>
            <w:r w:rsidRPr="001678CE">
              <w:rPr>
                <w:rFonts w:asciiTheme="majorHAnsi" w:hAnsiTheme="majorHAnsi"/>
                <w:sz w:val="20"/>
                <w:szCs w:val="20"/>
              </w:rPr>
              <w:t>($13,462)</w:t>
            </w:r>
          </w:p>
          <w:p w14:paraId="2FD6B6C2" w14:textId="77777777" w:rsidR="001E250C" w:rsidRDefault="005B066D" w:rsidP="00750FAC">
            <w:pPr>
              <w:cnfStyle w:val="000000000000" w:firstRow="0" w:lastRow="0" w:firstColumn="0" w:lastColumn="0" w:oddVBand="0" w:evenVBand="0" w:oddHBand="0" w:evenHBand="0" w:firstRowFirstColumn="0" w:firstRowLastColumn="0" w:lastRowFirstColumn="0" w:lastRowLastColumn="0"/>
              <w:rPr>
                <w:rStyle w:val="Hyperlink"/>
                <w:rFonts w:asciiTheme="majorHAnsi" w:hAnsiTheme="majorHAnsi"/>
                <w:sz w:val="20"/>
                <w:szCs w:val="20"/>
              </w:rPr>
            </w:pPr>
            <w:r>
              <w:rPr>
                <w:rFonts w:asciiTheme="majorHAnsi" w:hAnsiTheme="majorHAnsi"/>
                <w:sz w:val="20"/>
                <w:szCs w:val="20"/>
              </w:rPr>
              <w:t>Migrationsrat Berlin Brandenberg (</w:t>
            </w:r>
            <w:r w:rsidR="00750FAC" w:rsidRPr="00582FAF">
              <w:rPr>
                <w:rFonts w:asciiTheme="majorHAnsi" w:hAnsiTheme="majorHAnsi"/>
                <w:sz w:val="20"/>
                <w:szCs w:val="20"/>
              </w:rPr>
              <w:t>MRBB</w:t>
            </w:r>
            <w:r>
              <w:rPr>
                <w:rFonts w:asciiTheme="majorHAnsi" w:hAnsiTheme="majorHAnsi"/>
                <w:sz w:val="20"/>
                <w:szCs w:val="20"/>
              </w:rPr>
              <w:t>)</w:t>
            </w:r>
            <w:r w:rsidR="00750FAC" w:rsidRPr="00582FAF">
              <w:rPr>
                <w:rFonts w:asciiTheme="majorHAnsi" w:hAnsiTheme="majorHAnsi"/>
                <w:sz w:val="20"/>
                <w:szCs w:val="20"/>
              </w:rPr>
              <w:t xml:space="preserve"> </w:t>
            </w:r>
            <w:r w:rsidR="00750FAC" w:rsidRPr="00582FAF">
              <w:rPr>
                <w:rFonts w:asciiTheme="majorHAnsi" w:hAnsiTheme="majorHAnsi"/>
                <w:sz w:val="20"/>
                <w:szCs w:val="20"/>
              </w:rPr>
              <w:lastRenderedPageBreak/>
              <w:t xml:space="preserve">2012: </w:t>
            </w:r>
            <w:hyperlink r:id="rId31" w:history="1">
              <w:r w:rsidR="00750FAC" w:rsidRPr="00582FAF">
                <w:rPr>
                  <w:rStyle w:val="Hyperlink"/>
                  <w:rFonts w:asciiTheme="majorHAnsi" w:hAnsiTheme="majorHAnsi"/>
                  <w:sz w:val="20"/>
                  <w:szCs w:val="20"/>
                </w:rPr>
                <w:t>OR2012-37711</w:t>
              </w:r>
            </w:hyperlink>
            <w:r>
              <w:rPr>
                <w:rStyle w:val="Hyperlink"/>
                <w:rFonts w:asciiTheme="majorHAnsi" w:hAnsiTheme="majorHAnsi"/>
                <w:sz w:val="20"/>
                <w:szCs w:val="20"/>
                <w:u w:val="none"/>
              </w:rPr>
              <w:t xml:space="preserve"> </w:t>
            </w:r>
            <w:r>
              <w:rPr>
                <w:rStyle w:val="Hyperlink"/>
                <w:rFonts w:asciiTheme="majorHAnsi" w:hAnsiTheme="majorHAnsi"/>
                <w:color w:val="auto"/>
                <w:sz w:val="20"/>
                <w:szCs w:val="20"/>
                <w:u w:val="none"/>
              </w:rPr>
              <w:t>($7,</w:t>
            </w:r>
            <w:r w:rsidRPr="005B066D">
              <w:rPr>
                <w:rStyle w:val="Hyperlink"/>
                <w:rFonts w:asciiTheme="majorHAnsi" w:hAnsiTheme="majorHAnsi"/>
                <w:color w:val="auto"/>
                <w:sz w:val="20"/>
                <w:szCs w:val="20"/>
                <w:u w:val="none"/>
              </w:rPr>
              <w:t>924)</w:t>
            </w:r>
            <w:r>
              <w:rPr>
                <w:rStyle w:val="Hyperlink"/>
                <w:rFonts w:asciiTheme="majorHAnsi" w:hAnsiTheme="majorHAnsi"/>
                <w:sz w:val="20"/>
                <w:szCs w:val="20"/>
              </w:rPr>
              <w:t xml:space="preserve"> </w:t>
            </w:r>
          </w:p>
          <w:p w14:paraId="5B2DF197" w14:textId="77777777" w:rsidR="00D66D7D" w:rsidRPr="001E250C" w:rsidRDefault="00D66D7D" w:rsidP="00750FAC">
            <w:pPr>
              <w:cnfStyle w:val="000000000000" w:firstRow="0" w:lastRow="0" w:firstColumn="0" w:lastColumn="0" w:oddVBand="0" w:evenVBand="0" w:oddHBand="0" w:evenHBand="0" w:firstRowFirstColumn="0" w:firstRowLastColumn="0" w:lastRowFirstColumn="0" w:lastRowLastColumn="0"/>
              <w:rPr>
                <w:rFonts w:asciiTheme="majorHAnsi" w:hAnsiTheme="majorHAnsi"/>
                <w:color w:val="0000FF" w:themeColor="hyperlink"/>
                <w:sz w:val="20"/>
                <w:szCs w:val="20"/>
                <w:u w:val="single"/>
              </w:rPr>
            </w:pPr>
          </w:p>
          <w:p w14:paraId="0C9A01C7" w14:textId="211A201D" w:rsidR="00D66D7D" w:rsidRPr="00D66D7D" w:rsidRDefault="00D66D7D" w:rsidP="00750FAC">
            <w:pPr>
              <w:cnfStyle w:val="000000000000" w:firstRow="0" w:lastRow="0" w:firstColumn="0" w:lastColumn="0" w:oddVBand="0" w:evenVBand="0" w:oddHBand="0" w:evenHBand="0" w:firstRowFirstColumn="0" w:firstRowLastColumn="0" w:lastRowFirstColumn="0" w:lastRowLastColumn="0"/>
              <w:rPr>
                <w:rFonts w:asciiTheme="majorHAnsi" w:hAnsiTheme="majorHAnsi"/>
                <w:b/>
                <w:sz w:val="20"/>
                <w:szCs w:val="20"/>
              </w:rPr>
            </w:pPr>
            <w:r>
              <w:rPr>
                <w:rFonts w:asciiTheme="majorHAnsi" w:hAnsiTheme="majorHAnsi"/>
                <w:b/>
                <w:sz w:val="20"/>
                <w:szCs w:val="20"/>
              </w:rPr>
              <w:t>Individual consultancies</w:t>
            </w:r>
          </w:p>
          <w:p w14:paraId="0B42F38E" w14:textId="683AE708" w:rsidR="00750FAC" w:rsidRDefault="00750FAC" w:rsidP="00750FAC">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Pr>
                <w:rFonts w:asciiTheme="majorHAnsi" w:hAnsiTheme="majorHAnsi"/>
                <w:sz w:val="20"/>
                <w:szCs w:val="20"/>
              </w:rPr>
              <w:t xml:space="preserve">Carsten Ilius contracts: </w:t>
            </w:r>
            <w:r w:rsidRPr="00750FAC">
              <w:rPr>
                <w:rFonts w:asciiTheme="majorHAnsi" w:hAnsiTheme="majorHAnsi"/>
                <w:sz w:val="20"/>
                <w:szCs w:val="20"/>
              </w:rPr>
              <w:t>60008883</w:t>
            </w:r>
            <w:r>
              <w:rPr>
                <w:rFonts w:asciiTheme="majorHAnsi" w:hAnsiTheme="majorHAnsi"/>
                <w:sz w:val="20"/>
                <w:szCs w:val="20"/>
              </w:rPr>
              <w:t xml:space="preserve"> (2013, LRA</w:t>
            </w:r>
            <w:r w:rsidR="00560193">
              <w:rPr>
                <w:rFonts w:asciiTheme="majorHAnsi" w:hAnsiTheme="majorHAnsi"/>
                <w:sz w:val="20"/>
                <w:szCs w:val="20"/>
              </w:rPr>
              <w:t>, $</w:t>
            </w:r>
            <w:r w:rsidR="00581CC0">
              <w:rPr>
                <w:rFonts w:asciiTheme="majorHAnsi" w:hAnsiTheme="majorHAnsi"/>
                <w:sz w:val="20"/>
                <w:szCs w:val="20"/>
              </w:rPr>
              <w:t>5,240</w:t>
            </w:r>
            <w:r>
              <w:rPr>
                <w:rFonts w:asciiTheme="majorHAnsi" w:hAnsiTheme="majorHAnsi"/>
                <w:sz w:val="20"/>
                <w:szCs w:val="20"/>
              </w:rPr>
              <w:t>);</w:t>
            </w:r>
            <w:r w:rsidRPr="00750FAC">
              <w:rPr>
                <w:rFonts w:asciiTheme="majorHAnsi" w:hAnsiTheme="majorHAnsi"/>
                <w:sz w:val="20"/>
                <w:szCs w:val="20"/>
              </w:rPr>
              <w:t xml:space="preserve"> 60007015</w:t>
            </w:r>
            <w:r>
              <w:rPr>
                <w:rFonts w:asciiTheme="majorHAnsi" w:hAnsiTheme="majorHAnsi"/>
                <w:sz w:val="20"/>
                <w:szCs w:val="20"/>
              </w:rPr>
              <w:t xml:space="preserve"> (2012</w:t>
            </w:r>
            <w:r w:rsidR="00BC7977">
              <w:rPr>
                <w:rFonts w:asciiTheme="majorHAnsi" w:hAnsiTheme="majorHAnsi"/>
                <w:sz w:val="20"/>
                <w:szCs w:val="20"/>
              </w:rPr>
              <w:t>, $9,850</w:t>
            </w:r>
            <w:r>
              <w:rPr>
                <w:rFonts w:asciiTheme="majorHAnsi" w:hAnsiTheme="majorHAnsi"/>
                <w:sz w:val="20"/>
                <w:szCs w:val="20"/>
              </w:rPr>
              <w:t>)</w:t>
            </w:r>
            <w:r w:rsidR="004A4F87">
              <w:rPr>
                <w:rFonts w:asciiTheme="majorHAnsi" w:hAnsiTheme="majorHAnsi"/>
                <w:sz w:val="20"/>
                <w:szCs w:val="20"/>
              </w:rPr>
              <w:t>;</w:t>
            </w:r>
            <w:r w:rsidR="001678CE">
              <w:rPr>
                <w:rFonts w:asciiTheme="majorHAnsi" w:hAnsiTheme="majorHAnsi"/>
                <w:sz w:val="20"/>
                <w:szCs w:val="20"/>
              </w:rPr>
              <w:t xml:space="preserve"> (2011, $9,261)</w:t>
            </w:r>
            <w:r>
              <w:rPr>
                <w:rFonts w:asciiTheme="majorHAnsi" w:hAnsiTheme="majorHAnsi"/>
                <w:sz w:val="20"/>
                <w:szCs w:val="20"/>
              </w:rPr>
              <w:t xml:space="preserve"> </w:t>
            </w:r>
          </w:p>
          <w:p w14:paraId="22865445" w14:textId="0CACC11C" w:rsidR="00750FAC" w:rsidRPr="00750FAC" w:rsidRDefault="00750FAC" w:rsidP="00750FAC">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Pr>
                <w:rFonts w:asciiTheme="majorHAnsi" w:hAnsiTheme="majorHAnsi"/>
                <w:sz w:val="20"/>
                <w:szCs w:val="20"/>
              </w:rPr>
              <w:t xml:space="preserve">Meral El contract: </w:t>
            </w:r>
            <w:r w:rsidRPr="00750FAC">
              <w:rPr>
                <w:rFonts w:asciiTheme="majorHAnsi" w:hAnsiTheme="majorHAnsi"/>
                <w:sz w:val="20"/>
                <w:szCs w:val="20"/>
              </w:rPr>
              <w:t>60007162</w:t>
            </w:r>
            <w:r w:rsidR="00560193">
              <w:rPr>
                <w:rFonts w:asciiTheme="majorHAnsi" w:hAnsiTheme="majorHAnsi"/>
                <w:sz w:val="20"/>
                <w:szCs w:val="20"/>
              </w:rPr>
              <w:t xml:space="preserve"> (2012, </w:t>
            </w:r>
            <w:r w:rsidR="00BC7977">
              <w:rPr>
                <w:rFonts w:asciiTheme="majorHAnsi" w:hAnsiTheme="majorHAnsi"/>
                <w:sz w:val="20"/>
                <w:szCs w:val="20"/>
              </w:rPr>
              <w:t>$36,400</w:t>
            </w:r>
            <w:r w:rsidR="001678CE">
              <w:rPr>
                <w:rFonts w:asciiTheme="majorHAnsi" w:hAnsiTheme="majorHAnsi"/>
                <w:sz w:val="20"/>
                <w:szCs w:val="20"/>
              </w:rPr>
              <w:t>)</w:t>
            </w:r>
          </w:p>
          <w:p w14:paraId="165BB210" w14:textId="7F0D6D8D" w:rsidR="00750FAC" w:rsidRPr="00750FAC" w:rsidRDefault="00750FAC" w:rsidP="00750FAC">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Pr>
                <w:rFonts w:asciiTheme="majorHAnsi" w:hAnsiTheme="majorHAnsi"/>
                <w:sz w:val="20"/>
                <w:szCs w:val="20"/>
              </w:rPr>
              <w:t xml:space="preserve">Cengiz </w:t>
            </w:r>
            <w:r w:rsidRPr="00750FAC">
              <w:rPr>
                <w:rFonts w:asciiTheme="majorHAnsi" w:hAnsiTheme="majorHAnsi"/>
                <w:sz w:val="20"/>
                <w:szCs w:val="20"/>
              </w:rPr>
              <w:t>Barskanmaz</w:t>
            </w:r>
            <w:r>
              <w:rPr>
                <w:rFonts w:asciiTheme="majorHAnsi" w:hAnsiTheme="majorHAnsi"/>
                <w:sz w:val="20"/>
                <w:szCs w:val="20"/>
              </w:rPr>
              <w:t xml:space="preserve"> contract</w:t>
            </w:r>
            <w:r w:rsidRPr="00750FAC">
              <w:rPr>
                <w:rFonts w:asciiTheme="majorHAnsi" w:hAnsiTheme="majorHAnsi"/>
                <w:sz w:val="20"/>
                <w:szCs w:val="20"/>
              </w:rPr>
              <w:t>: 60006319</w:t>
            </w:r>
            <w:r w:rsidR="001678CE">
              <w:rPr>
                <w:rFonts w:asciiTheme="majorHAnsi" w:hAnsiTheme="majorHAnsi"/>
                <w:sz w:val="20"/>
                <w:szCs w:val="20"/>
              </w:rPr>
              <w:t xml:space="preserve"> (2012</w:t>
            </w:r>
            <w:r w:rsidR="00BC7977">
              <w:rPr>
                <w:rFonts w:asciiTheme="majorHAnsi" w:hAnsiTheme="majorHAnsi"/>
                <w:sz w:val="20"/>
                <w:szCs w:val="20"/>
              </w:rPr>
              <w:t>, $37440</w:t>
            </w:r>
            <w:r w:rsidR="001678CE">
              <w:rPr>
                <w:rFonts w:asciiTheme="majorHAnsi" w:hAnsiTheme="majorHAnsi"/>
                <w:sz w:val="20"/>
                <w:szCs w:val="20"/>
              </w:rPr>
              <w:t xml:space="preserve">); </w:t>
            </w:r>
            <w:r w:rsidR="00343D24" w:rsidRPr="00343D24">
              <w:rPr>
                <w:rFonts w:asciiTheme="majorHAnsi" w:hAnsiTheme="majorHAnsi"/>
                <w:sz w:val="20"/>
                <w:szCs w:val="20"/>
              </w:rPr>
              <w:t>60006377</w:t>
            </w:r>
            <w:r w:rsidR="009F423E">
              <w:rPr>
                <w:rFonts w:asciiTheme="majorHAnsi" w:hAnsiTheme="majorHAnsi"/>
                <w:sz w:val="20"/>
                <w:szCs w:val="20"/>
              </w:rPr>
              <w:t xml:space="preserve"> </w:t>
            </w:r>
            <w:r w:rsidR="001678CE">
              <w:rPr>
                <w:rFonts w:asciiTheme="majorHAnsi" w:hAnsiTheme="majorHAnsi"/>
                <w:sz w:val="20"/>
                <w:szCs w:val="20"/>
              </w:rPr>
              <w:t>(2011, $24,660)</w:t>
            </w:r>
          </w:p>
          <w:p w14:paraId="56CABEDE" w14:textId="5948557B" w:rsidR="00750FAC" w:rsidRDefault="00750FAC" w:rsidP="00750FAC">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Pr>
                <w:rFonts w:asciiTheme="majorHAnsi" w:hAnsiTheme="majorHAnsi"/>
                <w:sz w:val="20"/>
                <w:szCs w:val="20"/>
              </w:rPr>
              <w:t xml:space="preserve">Alexander </w:t>
            </w:r>
            <w:r w:rsidRPr="00750FAC">
              <w:rPr>
                <w:rFonts w:asciiTheme="majorHAnsi" w:hAnsiTheme="majorHAnsi"/>
                <w:sz w:val="20"/>
                <w:szCs w:val="20"/>
              </w:rPr>
              <w:t>Klose</w:t>
            </w:r>
            <w:r>
              <w:rPr>
                <w:rFonts w:asciiTheme="majorHAnsi" w:hAnsiTheme="majorHAnsi"/>
                <w:sz w:val="20"/>
                <w:szCs w:val="20"/>
              </w:rPr>
              <w:t xml:space="preserve"> contract</w:t>
            </w:r>
            <w:r w:rsidRPr="00750FAC">
              <w:rPr>
                <w:rFonts w:asciiTheme="majorHAnsi" w:hAnsiTheme="majorHAnsi"/>
                <w:sz w:val="20"/>
                <w:szCs w:val="20"/>
              </w:rPr>
              <w:t>: 60007987</w:t>
            </w:r>
            <w:r w:rsidR="00330D9D">
              <w:rPr>
                <w:rFonts w:asciiTheme="majorHAnsi" w:hAnsiTheme="majorHAnsi"/>
                <w:sz w:val="20"/>
                <w:szCs w:val="20"/>
              </w:rPr>
              <w:t xml:space="preserve"> (2012</w:t>
            </w:r>
            <w:r w:rsidR="00BC7977">
              <w:rPr>
                <w:rFonts w:asciiTheme="majorHAnsi" w:hAnsiTheme="majorHAnsi"/>
                <w:sz w:val="20"/>
                <w:szCs w:val="20"/>
              </w:rPr>
              <w:t>, $9,750</w:t>
            </w:r>
            <w:r w:rsidR="00560193">
              <w:rPr>
                <w:rFonts w:asciiTheme="majorHAnsi" w:hAnsiTheme="majorHAnsi"/>
                <w:sz w:val="20"/>
                <w:szCs w:val="20"/>
              </w:rPr>
              <w:t>; 2013, $</w:t>
            </w:r>
            <w:r w:rsidR="00581CC0">
              <w:rPr>
                <w:rFonts w:asciiTheme="majorHAnsi" w:hAnsiTheme="majorHAnsi"/>
                <w:sz w:val="20"/>
                <w:szCs w:val="20"/>
              </w:rPr>
              <w:t>3,275</w:t>
            </w:r>
            <w:r w:rsidR="00560193">
              <w:rPr>
                <w:rFonts w:asciiTheme="majorHAnsi" w:hAnsiTheme="majorHAnsi"/>
                <w:sz w:val="20"/>
                <w:szCs w:val="20"/>
              </w:rPr>
              <w:t>)</w:t>
            </w:r>
          </w:p>
          <w:p w14:paraId="78CA2D1C" w14:textId="77777777" w:rsidR="00317EC0" w:rsidRPr="00750FAC" w:rsidRDefault="00317EC0" w:rsidP="00750FAC">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p w14:paraId="3B09272F" w14:textId="77777777" w:rsidR="00750FAC" w:rsidRPr="00582FAF" w:rsidRDefault="009379DA" w:rsidP="009379DA">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9379DA">
              <w:rPr>
                <w:rFonts w:asciiTheme="majorHAnsi" w:hAnsiTheme="majorHAnsi"/>
                <w:b/>
                <w:sz w:val="20"/>
                <w:szCs w:val="20"/>
              </w:rPr>
              <w:t>PLEASE SEE</w:t>
            </w:r>
            <w:r>
              <w:rPr>
                <w:rFonts w:asciiTheme="majorHAnsi" w:hAnsiTheme="majorHAnsi"/>
                <w:sz w:val="20"/>
                <w:szCs w:val="20"/>
              </w:rPr>
              <w:t xml:space="preserve">: </w:t>
            </w:r>
            <w:hyperlink r:id="rId32" w:history="1">
              <w:r w:rsidRPr="009379DA">
                <w:rPr>
                  <w:rStyle w:val="Hyperlink"/>
                  <w:rFonts w:asciiTheme="majorHAnsi" w:hAnsiTheme="majorHAnsi"/>
                  <w:sz w:val="20"/>
                  <w:szCs w:val="20"/>
                </w:rPr>
                <w:t>Germany Litigation Portfolio Review</w:t>
              </w:r>
            </w:hyperlink>
            <w:r>
              <w:rPr>
                <w:rFonts w:asciiTheme="majorHAnsi" w:hAnsiTheme="majorHAnsi"/>
                <w:sz w:val="20"/>
                <w:szCs w:val="20"/>
              </w:rPr>
              <w:t xml:space="preserve"> and </w:t>
            </w:r>
            <w:hyperlink r:id="rId33" w:history="1">
              <w:r w:rsidRPr="009379DA">
                <w:rPr>
                  <w:rStyle w:val="Hyperlink"/>
                  <w:rFonts w:asciiTheme="majorHAnsi" w:hAnsiTheme="majorHAnsi"/>
                  <w:sz w:val="20"/>
                  <w:szCs w:val="20"/>
                </w:rPr>
                <w:t>Elements</w:t>
              </w:r>
            </w:hyperlink>
            <w:r>
              <w:rPr>
                <w:rFonts w:asciiTheme="majorHAnsi" w:hAnsiTheme="majorHAnsi"/>
                <w:sz w:val="20"/>
                <w:szCs w:val="20"/>
              </w:rPr>
              <w:t xml:space="preserve"> (Justice Initiative Board, Equality and Inclusion Sub-committee, March 2014)</w:t>
            </w:r>
          </w:p>
        </w:tc>
        <w:tc>
          <w:tcPr>
            <w:tcW w:w="453" w:type="pct"/>
          </w:tcPr>
          <w:p w14:paraId="69311C6D" w14:textId="77777777" w:rsidR="00750FAC" w:rsidRPr="00AD172A" w:rsidRDefault="0034423F"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lastRenderedPageBreak/>
              <w:t>2010-2013</w:t>
            </w:r>
          </w:p>
        </w:tc>
        <w:tc>
          <w:tcPr>
            <w:tcW w:w="696" w:type="pct"/>
          </w:tcPr>
          <w:p w14:paraId="079EE158" w14:textId="76342060" w:rsidR="00750FAC" w:rsidRDefault="00404BC4"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 xml:space="preserve">2011: </w:t>
            </w:r>
            <w:r w:rsidR="00330D9D">
              <w:rPr>
                <w:rFonts w:asciiTheme="majorHAnsi" w:hAnsiTheme="majorHAnsi"/>
              </w:rPr>
              <w:t>$47,383</w:t>
            </w:r>
          </w:p>
          <w:p w14:paraId="4842D25C" w14:textId="468CFB92" w:rsidR="00560193" w:rsidRDefault="005D59EE"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2012:</w:t>
            </w:r>
            <w:r w:rsidR="00BC7977">
              <w:rPr>
                <w:rFonts w:asciiTheme="majorHAnsi" w:hAnsiTheme="majorHAnsi"/>
              </w:rPr>
              <w:t xml:space="preserve"> $101,364</w:t>
            </w:r>
          </w:p>
          <w:p w14:paraId="5B75E1BE" w14:textId="75D6B037" w:rsidR="00BC7977" w:rsidRDefault="00560193"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2013:</w:t>
            </w:r>
            <w:r w:rsidR="00581CC0">
              <w:rPr>
                <w:rFonts w:asciiTheme="majorHAnsi" w:hAnsiTheme="majorHAnsi"/>
              </w:rPr>
              <w:t xml:space="preserve"> $8,515</w:t>
            </w:r>
          </w:p>
          <w:p w14:paraId="1D4DBBDC" w14:textId="77777777" w:rsidR="00BC7977" w:rsidRDefault="00BC7977"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51116C44" w14:textId="77777777" w:rsidR="00317EC0" w:rsidRDefault="00317EC0"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24735D2C" w14:textId="77777777" w:rsidR="00317EC0" w:rsidRDefault="00317EC0"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00FFE244" w14:textId="77777777" w:rsidR="002432DE" w:rsidRDefault="002432DE" w:rsidP="00BC7977">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p w14:paraId="73980658" w14:textId="77777777" w:rsidR="002432DE" w:rsidRDefault="002432DE" w:rsidP="00BC7977">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p w14:paraId="2A384E4A" w14:textId="77777777" w:rsidR="002432DE" w:rsidRDefault="002432DE" w:rsidP="00BC7977">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p w14:paraId="4D2036B0" w14:textId="77777777" w:rsidR="002432DE" w:rsidRDefault="002432DE" w:rsidP="00BC7977">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p w14:paraId="67DED48D" w14:textId="77777777" w:rsidR="002432DE" w:rsidRDefault="002432DE" w:rsidP="00BC7977">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p w14:paraId="6A8D2486" w14:textId="77777777" w:rsidR="002432DE" w:rsidRDefault="002432DE" w:rsidP="00BC7977">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p w14:paraId="48331921" w14:textId="77777777" w:rsidR="00581CC0" w:rsidRDefault="00581CC0" w:rsidP="00BC7977">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p w14:paraId="7D6F5C4B" w14:textId="77777777" w:rsidR="002432DE" w:rsidRDefault="002432DE" w:rsidP="00BC7977">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p w14:paraId="2D9E8E46" w14:textId="77777777" w:rsidR="00AF2972" w:rsidRDefault="00AF2972" w:rsidP="00BC7977">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p w14:paraId="34349F42" w14:textId="77777777" w:rsidR="002432DE" w:rsidRDefault="002432DE" w:rsidP="001A7978">
            <w:pPr>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p w14:paraId="04BB245E" w14:textId="77777777" w:rsidR="00511D23" w:rsidRDefault="00511D23" w:rsidP="00BC7977">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p w14:paraId="54621914" w14:textId="77777777" w:rsidR="00BC7977" w:rsidRPr="00581CC0" w:rsidRDefault="00BC7977" w:rsidP="00BC7977">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b/>
                <w:i/>
              </w:rPr>
            </w:pPr>
            <w:r w:rsidRPr="00581CC0">
              <w:rPr>
                <w:rFonts w:asciiTheme="majorHAnsi" w:hAnsiTheme="majorHAnsi"/>
                <w:b/>
                <w:i/>
              </w:rPr>
              <w:t>Sub-total:</w:t>
            </w:r>
          </w:p>
          <w:p w14:paraId="7537AD08" w14:textId="4047164B" w:rsidR="00BC7977" w:rsidRPr="00BC7977" w:rsidRDefault="004A4F87" w:rsidP="004A4F87">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b/>
              </w:rPr>
            </w:pPr>
            <w:r>
              <w:rPr>
                <w:rFonts w:asciiTheme="majorHAnsi" w:hAnsiTheme="majorHAnsi"/>
                <w:b/>
                <w:i/>
              </w:rPr>
              <w:t>$157</w:t>
            </w:r>
            <w:r w:rsidR="00581CC0" w:rsidRPr="00581CC0">
              <w:rPr>
                <w:rFonts w:asciiTheme="majorHAnsi" w:hAnsiTheme="majorHAnsi"/>
                <w:b/>
                <w:i/>
              </w:rPr>
              <w:t>,</w:t>
            </w:r>
            <w:r>
              <w:rPr>
                <w:rFonts w:asciiTheme="majorHAnsi" w:hAnsiTheme="majorHAnsi"/>
                <w:b/>
                <w:i/>
              </w:rPr>
              <w:t>262</w:t>
            </w:r>
          </w:p>
        </w:tc>
        <w:tc>
          <w:tcPr>
            <w:tcW w:w="1374" w:type="pct"/>
          </w:tcPr>
          <w:p w14:paraId="73F5F15B" w14:textId="71A01088" w:rsidR="00750FAC" w:rsidRPr="00AD172A" w:rsidRDefault="00DC58D5" w:rsidP="00355247">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lastRenderedPageBreak/>
              <w:t xml:space="preserve">The Justice Initiative developed strategic cases in Berlin administrative courts designed to tackle the problem of de facto </w:t>
            </w:r>
            <w:r>
              <w:rPr>
                <w:rFonts w:asciiTheme="majorHAnsi" w:hAnsiTheme="majorHAnsi"/>
              </w:rPr>
              <w:lastRenderedPageBreak/>
              <w:t>separated classes for students of migrant background in primary and secondary schools. The cases were filed in mid-2012 and dismissed in October 2013. The fact that three students had filed court cases alleging that they had experienced segregation in Berlin sc</w:t>
            </w:r>
            <w:r w:rsidR="00355247">
              <w:rPr>
                <w:rFonts w:asciiTheme="majorHAnsi" w:hAnsiTheme="majorHAnsi"/>
              </w:rPr>
              <w:t>hools sparked heated debate and illustrated the lack of a more accessible form of redress for their claims.</w:t>
            </w:r>
          </w:p>
        </w:tc>
      </w:tr>
      <w:tr w:rsidR="00DF4215" w:rsidRPr="00AD172A" w14:paraId="545E9738" w14:textId="77777777" w:rsidTr="004A0700">
        <w:tc>
          <w:tcPr>
            <w:cnfStyle w:val="001000000000" w:firstRow="0" w:lastRow="0" w:firstColumn="1" w:lastColumn="0" w:oddVBand="0" w:evenVBand="0" w:oddHBand="0" w:evenHBand="0" w:firstRowFirstColumn="0" w:firstRowLastColumn="0" w:lastRowFirstColumn="0" w:lastRowLastColumn="0"/>
            <w:tcW w:w="815" w:type="pct"/>
          </w:tcPr>
          <w:p w14:paraId="55ACCFB5" w14:textId="1FDABACB" w:rsidR="00E26BF4" w:rsidRPr="00582FAF" w:rsidRDefault="00750FAC" w:rsidP="00212D74">
            <w:pPr>
              <w:rPr>
                <w:rFonts w:asciiTheme="majorHAnsi" w:hAnsiTheme="majorHAnsi"/>
                <w:b w:val="0"/>
              </w:rPr>
            </w:pPr>
            <w:r>
              <w:rPr>
                <w:rFonts w:asciiTheme="majorHAnsi" w:hAnsiTheme="majorHAnsi"/>
                <w:b w:val="0"/>
              </w:rPr>
              <w:lastRenderedPageBreak/>
              <w:t xml:space="preserve">Public awareness raising campaign and </w:t>
            </w:r>
            <w:r w:rsidR="00582FAF">
              <w:rPr>
                <w:rFonts w:asciiTheme="majorHAnsi" w:hAnsiTheme="majorHAnsi"/>
                <w:b w:val="0"/>
              </w:rPr>
              <w:t>complaints mechanism advocacy</w:t>
            </w:r>
          </w:p>
        </w:tc>
        <w:tc>
          <w:tcPr>
            <w:tcW w:w="1662" w:type="pct"/>
          </w:tcPr>
          <w:p w14:paraId="61A93369" w14:textId="77777777" w:rsidR="00151F6E" w:rsidRPr="00151F6E" w:rsidRDefault="00151F6E" w:rsidP="00582FAF">
            <w:pPr>
              <w:cnfStyle w:val="000000000000" w:firstRow="0" w:lastRow="0" w:firstColumn="0" w:lastColumn="0" w:oddVBand="0" w:evenVBand="0" w:oddHBand="0" w:evenHBand="0" w:firstRowFirstColumn="0" w:firstRowLastColumn="0" w:lastRowFirstColumn="0" w:lastRowLastColumn="0"/>
              <w:rPr>
                <w:rFonts w:asciiTheme="majorHAnsi" w:hAnsiTheme="majorHAnsi"/>
                <w:b/>
                <w:sz w:val="20"/>
                <w:szCs w:val="20"/>
              </w:rPr>
            </w:pPr>
            <w:r>
              <w:rPr>
                <w:rFonts w:asciiTheme="majorHAnsi" w:hAnsiTheme="majorHAnsi"/>
                <w:b/>
                <w:sz w:val="20"/>
                <w:szCs w:val="20"/>
              </w:rPr>
              <w:t>Grants</w:t>
            </w:r>
          </w:p>
          <w:p w14:paraId="3326291F" w14:textId="23E9073E" w:rsidR="00582FAF" w:rsidRPr="00582FAF" w:rsidRDefault="00582FAF" w:rsidP="00582FAF">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Pr>
                <w:rFonts w:asciiTheme="majorHAnsi" w:hAnsiTheme="majorHAnsi"/>
                <w:sz w:val="20"/>
                <w:szCs w:val="20"/>
              </w:rPr>
              <w:t xml:space="preserve">MRBB 2013: </w:t>
            </w:r>
            <w:hyperlink r:id="rId34" w:history="1">
              <w:r w:rsidRPr="00582FAF">
                <w:rPr>
                  <w:rStyle w:val="Hyperlink"/>
                  <w:rFonts w:asciiTheme="majorHAnsi" w:hAnsiTheme="majorHAnsi"/>
                  <w:sz w:val="20"/>
                  <w:szCs w:val="20"/>
                </w:rPr>
                <w:t>OR2013-03354</w:t>
              </w:r>
            </w:hyperlink>
            <w:r w:rsidR="00581CC0">
              <w:rPr>
                <w:rStyle w:val="Hyperlink"/>
                <w:rFonts w:asciiTheme="majorHAnsi" w:hAnsiTheme="majorHAnsi"/>
                <w:color w:val="auto"/>
                <w:sz w:val="20"/>
                <w:szCs w:val="20"/>
                <w:u w:val="none"/>
              </w:rPr>
              <w:t xml:space="preserve"> ($45</w:t>
            </w:r>
            <w:r w:rsidR="005B066D" w:rsidRPr="005B066D">
              <w:rPr>
                <w:rStyle w:val="Hyperlink"/>
                <w:rFonts w:asciiTheme="majorHAnsi" w:hAnsiTheme="majorHAnsi"/>
                <w:color w:val="auto"/>
                <w:sz w:val="20"/>
                <w:szCs w:val="20"/>
                <w:u w:val="none"/>
              </w:rPr>
              <w:t>,942)</w:t>
            </w:r>
          </w:p>
          <w:p w14:paraId="5A046C44" w14:textId="77777777" w:rsidR="00582FAF" w:rsidRPr="00582FAF" w:rsidRDefault="00582FAF" w:rsidP="00582FAF">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Pr>
                <w:rFonts w:asciiTheme="majorHAnsi" w:hAnsiTheme="majorHAnsi"/>
                <w:sz w:val="20"/>
                <w:szCs w:val="20"/>
              </w:rPr>
              <w:t xml:space="preserve">MRBB 2014: </w:t>
            </w:r>
            <w:hyperlink r:id="rId35" w:history="1">
              <w:r w:rsidRPr="00582FAF">
                <w:rPr>
                  <w:rStyle w:val="Hyperlink"/>
                  <w:rFonts w:asciiTheme="majorHAnsi" w:hAnsiTheme="majorHAnsi"/>
                  <w:sz w:val="20"/>
                  <w:szCs w:val="20"/>
                </w:rPr>
                <w:t>OR2014-17230</w:t>
              </w:r>
            </w:hyperlink>
            <w:r w:rsidR="005B066D" w:rsidRPr="005B066D">
              <w:rPr>
                <w:rStyle w:val="Hyperlink"/>
                <w:rFonts w:asciiTheme="majorHAnsi" w:hAnsiTheme="majorHAnsi"/>
                <w:color w:val="auto"/>
                <w:sz w:val="20"/>
                <w:szCs w:val="20"/>
                <w:u w:val="none"/>
              </w:rPr>
              <w:t xml:space="preserve"> ($58,000)</w:t>
            </w:r>
          </w:p>
          <w:p w14:paraId="76BA5D05" w14:textId="77777777" w:rsidR="00151F6E" w:rsidRDefault="00151F6E" w:rsidP="00750FAC">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p w14:paraId="668F6D5E" w14:textId="77777777" w:rsidR="00151F6E" w:rsidRPr="00151F6E" w:rsidRDefault="00151F6E" w:rsidP="00750FAC">
            <w:pPr>
              <w:cnfStyle w:val="000000000000" w:firstRow="0" w:lastRow="0" w:firstColumn="0" w:lastColumn="0" w:oddVBand="0" w:evenVBand="0" w:oddHBand="0" w:evenHBand="0" w:firstRowFirstColumn="0" w:firstRowLastColumn="0" w:lastRowFirstColumn="0" w:lastRowLastColumn="0"/>
              <w:rPr>
                <w:rFonts w:asciiTheme="majorHAnsi" w:hAnsiTheme="majorHAnsi"/>
                <w:b/>
                <w:sz w:val="20"/>
                <w:szCs w:val="20"/>
              </w:rPr>
            </w:pPr>
            <w:r>
              <w:rPr>
                <w:rFonts w:asciiTheme="majorHAnsi" w:hAnsiTheme="majorHAnsi"/>
                <w:b/>
                <w:sz w:val="20"/>
                <w:szCs w:val="20"/>
              </w:rPr>
              <w:t>Individual consultancies</w:t>
            </w:r>
          </w:p>
          <w:p w14:paraId="2763A65C" w14:textId="4493A1DC" w:rsidR="00151F6E" w:rsidRDefault="00750FAC" w:rsidP="00750FAC">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Pr>
                <w:rFonts w:asciiTheme="majorHAnsi" w:hAnsiTheme="majorHAnsi"/>
                <w:sz w:val="20"/>
                <w:szCs w:val="20"/>
              </w:rPr>
              <w:t>Carsten Ilius contract</w:t>
            </w:r>
            <w:r w:rsidR="00582FAF">
              <w:rPr>
                <w:rFonts w:asciiTheme="majorHAnsi" w:hAnsiTheme="majorHAnsi"/>
                <w:sz w:val="20"/>
                <w:szCs w:val="20"/>
              </w:rPr>
              <w:t>:</w:t>
            </w:r>
            <w:r>
              <w:rPr>
                <w:rFonts w:asciiTheme="majorHAnsi" w:hAnsiTheme="majorHAnsi"/>
                <w:sz w:val="20"/>
                <w:szCs w:val="20"/>
              </w:rPr>
              <w:t xml:space="preserve"> </w:t>
            </w:r>
            <w:r w:rsidRPr="00750FAC">
              <w:rPr>
                <w:rFonts w:asciiTheme="majorHAnsi" w:hAnsiTheme="majorHAnsi"/>
                <w:sz w:val="20"/>
                <w:szCs w:val="20"/>
              </w:rPr>
              <w:t>60009976</w:t>
            </w:r>
            <w:r w:rsidR="00151F6E">
              <w:rPr>
                <w:rFonts w:asciiTheme="majorHAnsi" w:hAnsiTheme="majorHAnsi"/>
                <w:sz w:val="20"/>
                <w:szCs w:val="20"/>
              </w:rPr>
              <w:t xml:space="preserve"> (2014</w:t>
            </w:r>
            <w:r w:rsidR="002A1A15">
              <w:rPr>
                <w:rFonts w:asciiTheme="majorHAnsi" w:hAnsiTheme="majorHAnsi"/>
                <w:sz w:val="20"/>
                <w:szCs w:val="20"/>
              </w:rPr>
              <w:t>, $10,000</w:t>
            </w:r>
            <w:r w:rsidR="00151F6E">
              <w:rPr>
                <w:rFonts w:asciiTheme="majorHAnsi" w:hAnsiTheme="majorHAnsi"/>
                <w:sz w:val="20"/>
                <w:szCs w:val="20"/>
              </w:rPr>
              <w:t>)</w:t>
            </w:r>
          </w:p>
          <w:p w14:paraId="34F1F0E3" w14:textId="37B9495D" w:rsidR="00151F6E" w:rsidRPr="009B1415" w:rsidRDefault="00151F6E" w:rsidP="00151F6E">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9B1415">
              <w:rPr>
                <w:rFonts w:asciiTheme="majorHAnsi" w:hAnsiTheme="majorHAnsi"/>
                <w:sz w:val="20"/>
                <w:szCs w:val="20"/>
              </w:rPr>
              <w:t>Inga Uleviciute</w:t>
            </w:r>
            <w:r>
              <w:rPr>
                <w:rFonts w:asciiTheme="majorHAnsi" w:hAnsiTheme="majorHAnsi"/>
                <w:sz w:val="20"/>
                <w:szCs w:val="20"/>
              </w:rPr>
              <w:t xml:space="preserve"> contract</w:t>
            </w:r>
            <w:r w:rsidRPr="009B1415">
              <w:rPr>
                <w:rFonts w:asciiTheme="majorHAnsi" w:hAnsiTheme="majorHAnsi"/>
                <w:sz w:val="20"/>
                <w:szCs w:val="20"/>
              </w:rPr>
              <w:t>: 60008801</w:t>
            </w:r>
            <w:r>
              <w:rPr>
                <w:rFonts w:asciiTheme="majorHAnsi" w:hAnsiTheme="majorHAnsi"/>
                <w:sz w:val="20"/>
                <w:szCs w:val="20"/>
              </w:rPr>
              <w:t xml:space="preserve"> (2013</w:t>
            </w:r>
            <w:r w:rsidR="00750388">
              <w:rPr>
                <w:rFonts w:asciiTheme="majorHAnsi" w:hAnsiTheme="majorHAnsi"/>
                <w:sz w:val="20"/>
                <w:szCs w:val="20"/>
              </w:rPr>
              <w:t>, 1,750 EUR</w:t>
            </w:r>
            <w:r>
              <w:rPr>
                <w:rFonts w:asciiTheme="majorHAnsi" w:hAnsiTheme="majorHAnsi"/>
                <w:sz w:val="20"/>
                <w:szCs w:val="20"/>
              </w:rPr>
              <w:t>)</w:t>
            </w:r>
          </w:p>
          <w:p w14:paraId="40B309A9" w14:textId="4A1C8E80" w:rsidR="00151F6E" w:rsidRDefault="00581CC0" w:rsidP="00750FAC">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Pr>
                <w:rFonts w:asciiTheme="majorHAnsi" w:hAnsiTheme="majorHAnsi"/>
                <w:sz w:val="20"/>
                <w:szCs w:val="20"/>
              </w:rPr>
              <w:t>Meral El contract: ID (</w:t>
            </w:r>
            <w:r w:rsidR="00560193">
              <w:rPr>
                <w:rFonts w:asciiTheme="majorHAnsi" w:hAnsiTheme="majorHAnsi"/>
                <w:sz w:val="20"/>
                <w:szCs w:val="20"/>
              </w:rPr>
              <w:t>2013, $44,540</w:t>
            </w:r>
            <w:r w:rsidR="002A1A15">
              <w:rPr>
                <w:rFonts w:asciiTheme="majorHAnsi" w:hAnsiTheme="majorHAnsi"/>
                <w:sz w:val="20"/>
                <w:szCs w:val="20"/>
              </w:rPr>
              <w:t>; 2014, $18,765</w:t>
            </w:r>
            <w:r>
              <w:rPr>
                <w:rFonts w:asciiTheme="majorHAnsi" w:hAnsiTheme="majorHAnsi"/>
                <w:sz w:val="20"/>
                <w:szCs w:val="20"/>
              </w:rPr>
              <w:t>)</w:t>
            </w:r>
          </w:p>
          <w:p w14:paraId="622487A2" w14:textId="77777777" w:rsidR="00581CC0" w:rsidRDefault="00581CC0" w:rsidP="00750FAC">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p w14:paraId="2F866007" w14:textId="77777777" w:rsidR="00750FAC" w:rsidRDefault="00151F6E" w:rsidP="00750FAC">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Pr>
                <w:rFonts w:asciiTheme="majorHAnsi" w:hAnsiTheme="majorHAnsi"/>
                <w:b/>
                <w:sz w:val="20"/>
                <w:szCs w:val="20"/>
              </w:rPr>
              <w:t>Communications and Treaty Body Reports</w:t>
            </w:r>
          </w:p>
          <w:p w14:paraId="511EB8E5" w14:textId="77777777" w:rsidR="00750FAC" w:rsidRDefault="004E240B" w:rsidP="00750FAC">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hyperlink r:id="rId36" w:history="1">
              <w:r w:rsidR="00750FAC" w:rsidRPr="00750FAC">
                <w:rPr>
                  <w:rStyle w:val="Hyperlink"/>
                  <w:rFonts w:asciiTheme="majorHAnsi" w:hAnsiTheme="majorHAnsi"/>
                  <w:sz w:val="20"/>
                  <w:szCs w:val="20"/>
                </w:rPr>
                <w:t>Discrimination in German Schools, Questions and Answers</w:t>
              </w:r>
            </w:hyperlink>
            <w:r w:rsidR="00750FAC">
              <w:rPr>
                <w:rFonts w:asciiTheme="majorHAnsi" w:hAnsiTheme="majorHAnsi"/>
                <w:sz w:val="20"/>
                <w:szCs w:val="20"/>
              </w:rPr>
              <w:t xml:space="preserve"> (Briefing Paper, 2013)</w:t>
            </w:r>
          </w:p>
          <w:p w14:paraId="22A8068E" w14:textId="77777777" w:rsidR="00750FAC" w:rsidRDefault="004E240B" w:rsidP="00750FAC">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hyperlink r:id="rId37" w:history="1">
              <w:r w:rsidR="00750FAC" w:rsidRPr="00750FAC">
                <w:rPr>
                  <w:rStyle w:val="Hyperlink"/>
                  <w:rFonts w:asciiTheme="majorHAnsi" w:hAnsiTheme="majorHAnsi"/>
                  <w:sz w:val="20"/>
                  <w:szCs w:val="20"/>
                </w:rPr>
                <w:t>Discrimination in German Schools: Fact Sheet</w:t>
              </w:r>
            </w:hyperlink>
            <w:r w:rsidR="00750FAC">
              <w:rPr>
                <w:rFonts w:asciiTheme="majorHAnsi" w:hAnsiTheme="majorHAnsi"/>
                <w:sz w:val="20"/>
                <w:szCs w:val="20"/>
              </w:rPr>
              <w:t xml:space="preserve"> (1-pager, 2013)</w:t>
            </w:r>
          </w:p>
          <w:p w14:paraId="23103580" w14:textId="77777777" w:rsidR="00750FAC" w:rsidRDefault="004E240B" w:rsidP="00750FAC">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hyperlink r:id="rId38" w:history="1">
              <w:r w:rsidR="00750FAC" w:rsidRPr="00750FAC">
                <w:rPr>
                  <w:rStyle w:val="Hyperlink"/>
                  <w:rFonts w:asciiTheme="majorHAnsi" w:hAnsiTheme="majorHAnsi"/>
                  <w:sz w:val="20"/>
                  <w:szCs w:val="20"/>
                </w:rPr>
                <w:t>Standing up for Equality</w:t>
              </w:r>
            </w:hyperlink>
            <w:r w:rsidR="00750FAC">
              <w:rPr>
                <w:rFonts w:asciiTheme="majorHAnsi" w:hAnsiTheme="majorHAnsi"/>
                <w:sz w:val="20"/>
                <w:szCs w:val="20"/>
              </w:rPr>
              <w:t xml:space="preserve"> (Report, 2013)</w:t>
            </w:r>
          </w:p>
          <w:p w14:paraId="3FE14704" w14:textId="77777777" w:rsidR="00750FAC" w:rsidRDefault="004E240B" w:rsidP="00750FAC">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hyperlink r:id="rId39" w:history="1">
              <w:r w:rsidR="00750FAC" w:rsidRPr="00750FAC">
                <w:rPr>
                  <w:rStyle w:val="Hyperlink"/>
                  <w:rFonts w:asciiTheme="majorHAnsi" w:hAnsiTheme="majorHAnsi"/>
                  <w:sz w:val="20"/>
                  <w:szCs w:val="20"/>
                </w:rPr>
                <w:t>Voices piece</w:t>
              </w:r>
            </w:hyperlink>
            <w:r w:rsidR="00750FAC">
              <w:rPr>
                <w:rFonts w:asciiTheme="majorHAnsi" w:hAnsiTheme="majorHAnsi"/>
                <w:sz w:val="20"/>
                <w:szCs w:val="20"/>
              </w:rPr>
              <w:t xml:space="preserve"> (with photography) (2013)</w:t>
            </w:r>
          </w:p>
          <w:p w14:paraId="406E4449" w14:textId="77777777" w:rsidR="00151F6E" w:rsidRDefault="004E240B" w:rsidP="00151F6E">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hyperlink r:id="rId40" w:history="1">
              <w:r w:rsidR="00151F6E" w:rsidRPr="00BA0E95">
                <w:rPr>
                  <w:rStyle w:val="Hyperlink"/>
                  <w:rFonts w:asciiTheme="majorHAnsi" w:hAnsiTheme="majorHAnsi"/>
                  <w:sz w:val="20"/>
                  <w:szCs w:val="20"/>
                </w:rPr>
                <w:t>UN Human Rights Committee submission</w:t>
              </w:r>
            </w:hyperlink>
            <w:r w:rsidR="00151F6E">
              <w:rPr>
                <w:rFonts w:asciiTheme="majorHAnsi" w:hAnsiTheme="majorHAnsi"/>
                <w:sz w:val="20"/>
                <w:szCs w:val="20"/>
              </w:rPr>
              <w:t xml:space="preserve"> (2012)</w:t>
            </w:r>
          </w:p>
          <w:p w14:paraId="613E8A92" w14:textId="77777777" w:rsidR="00151F6E" w:rsidRDefault="004E240B" w:rsidP="00750FAC">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hyperlink r:id="rId41" w:history="1">
              <w:r w:rsidR="00151F6E" w:rsidRPr="00BA0E95">
                <w:rPr>
                  <w:rStyle w:val="Hyperlink"/>
                  <w:rFonts w:asciiTheme="majorHAnsi" w:hAnsiTheme="majorHAnsi"/>
                  <w:sz w:val="20"/>
                  <w:szCs w:val="20"/>
                </w:rPr>
                <w:t>Universal Periodic Review submission</w:t>
              </w:r>
            </w:hyperlink>
            <w:r w:rsidR="00151F6E">
              <w:rPr>
                <w:rFonts w:asciiTheme="majorHAnsi" w:hAnsiTheme="majorHAnsi"/>
                <w:sz w:val="20"/>
                <w:szCs w:val="20"/>
              </w:rPr>
              <w:t xml:space="preserve"> (2013)</w:t>
            </w:r>
          </w:p>
          <w:p w14:paraId="3756EC04" w14:textId="77777777" w:rsidR="00151F6E" w:rsidRDefault="00151F6E" w:rsidP="00750FAC">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p w14:paraId="1CA91B4A" w14:textId="77777777" w:rsidR="00151F6E" w:rsidRPr="00151F6E" w:rsidRDefault="00151F6E" w:rsidP="00750FAC">
            <w:pPr>
              <w:cnfStyle w:val="000000000000" w:firstRow="0" w:lastRow="0" w:firstColumn="0" w:lastColumn="0" w:oddVBand="0" w:evenVBand="0" w:oddHBand="0" w:evenHBand="0" w:firstRowFirstColumn="0" w:firstRowLastColumn="0" w:lastRowFirstColumn="0" w:lastRowLastColumn="0"/>
              <w:rPr>
                <w:rFonts w:asciiTheme="majorHAnsi" w:hAnsiTheme="majorHAnsi"/>
                <w:b/>
                <w:sz w:val="20"/>
                <w:szCs w:val="20"/>
              </w:rPr>
            </w:pPr>
            <w:r>
              <w:rPr>
                <w:rFonts w:asciiTheme="majorHAnsi" w:hAnsiTheme="majorHAnsi"/>
                <w:b/>
                <w:sz w:val="20"/>
                <w:szCs w:val="20"/>
              </w:rPr>
              <w:t>Events</w:t>
            </w:r>
          </w:p>
          <w:p w14:paraId="1E88A473" w14:textId="77777777" w:rsidR="00750FAC" w:rsidRDefault="00750FAC" w:rsidP="00750FAC">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151F6E">
              <w:rPr>
                <w:rFonts w:asciiTheme="majorHAnsi" w:hAnsiTheme="majorHAnsi"/>
                <w:sz w:val="20"/>
                <w:szCs w:val="20"/>
              </w:rPr>
              <w:lastRenderedPageBreak/>
              <w:t>Photography Exhibition</w:t>
            </w:r>
            <w:r>
              <w:rPr>
                <w:rFonts w:asciiTheme="majorHAnsi" w:hAnsiTheme="majorHAnsi"/>
                <w:sz w:val="20"/>
                <w:szCs w:val="20"/>
              </w:rPr>
              <w:t>, November 2013</w:t>
            </w:r>
          </w:p>
          <w:p w14:paraId="3473C490" w14:textId="77777777" w:rsidR="00E26BF4" w:rsidRDefault="009B1415"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151F6E">
              <w:rPr>
                <w:rFonts w:asciiTheme="majorHAnsi" w:hAnsiTheme="majorHAnsi"/>
                <w:sz w:val="20"/>
                <w:szCs w:val="20"/>
              </w:rPr>
              <w:t>Symposium</w:t>
            </w:r>
            <w:r w:rsidR="00151F6E">
              <w:rPr>
                <w:rFonts w:asciiTheme="majorHAnsi" w:hAnsiTheme="majorHAnsi"/>
                <w:sz w:val="20"/>
                <w:szCs w:val="20"/>
              </w:rPr>
              <w:t>, November 2013</w:t>
            </w:r>
          </w:p>
          <w:p w14:paraId="7EE675FF" w14:textId="397D0615" w:rsidR="00B43E78" w:rsidRDefault="00B43E78"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Pr>
                <w:rFonts w:asciiTheme="majorHAnsi" w:hAnsiTheme="majorHAnsi"/>
                <w:sz w:val="20"/>
                <w:szCs w:val="20"/>
              </w:rPr>
              <w:t>Berlin Antidiscrimination Meeting (March 2014) ($11,452 – XPL and vendors)</w:t>
            </w:r>
          </w:p>
          <w:p w14:paraId="58488F32" w14:textId="77777777" w:rsidR="00317EC0" w:rsidRDefault="00317EC0"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p w14:paraId="7B199CF3" w14:textId="72AA448E" w:rsidR="00317EC0" w:rsidRPr="00582FAF" w:rsidRDefault="00317EC0"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r w:rsidRPr="009379DA">
              <w:rPr>
                <w:rFonts w:asciiTheme="majorHAnsi" w:hAnsiTheme="majorHAnsi"/>
                <w:b/>
                <w:sz w:val="20"/>
                <w:szCs w:val="20"/>
              </w:rPr>
              <w:t>PLEASE SEE</w:t>
            </w:r>
            <w:r>
              <w:rPr>
                <w:rFonts w:asciiTheme="majorHAnsi" w:hAnsiTheme="majorHAnsi"/>
                <w:sz w:val="20"/>
                <w:szCs w:val="20"/>
              </w:rPr>
              <w:t xml:space="preserve">: </w:t>
            </w:r>
            <w:hyperlink r:id="rId42" w:history="1">
              <w:r w:rsidRPr="009379DA">
                <w:rPr>
                  <w:rStyle w:val="Hyperlink"/>
                  <w:rFonts w:asciiTheme="majorHAnsi" w:hAnsiTheme="majorHAnsi"/>
                  <w:sz w:val="20"/>
                  <w:szCs w:val="20"/>
                </w:rPr>
                <w:t>Germany Litigation Portfolio Review</w:t>
              </w:r>
            </w:hyperlink>
            <w:r>
              <w:rPr>
                <w:rFonts w:asciiTheme="majorHAnsi" w:hAnsiTheme="majorHAnsi"/>
                <w:sz w:val="20"/>
                <w:szCs w:val="20"/>
              </w:rPr>
              <w:t xml:space="preserve"> and </w:t>
            </w:r>
            <w:hyperlink r:id="rId43" w:history="1">
              <w:r w:rsidRPr="009379DA">
                <w:rPr>
                  <w:rStyle w:val="Hyperlink"/>
                  <w:rFonts w:asciiTheme="majorHAnsi" w:hAnsiTheme="majorHAnsi"/>
                  <w:sz w:val="20"/>
                  <w:szCs w:val="20"/>
                </w:rPr>
                <w:t>Elements</w:t>
              </w:r>
            </w:hyperlink>
            <w:r>
              <w:rPr>
                <w:rFonts w:asciiTheme="majorHAnsi" w:hAnsiTheme="majorHAnsi"/>
                <w:sz w:val="20"/>
                <w:szCs w:val="20"/>
              </w:rPr>
              <w:t xml:space="preserve"> (Justice Initiative Board, Equality and Inclusion Sub-committee, March 2014)</w:t>
            </w:r>
          </w:p>
        </w:tc>
        <w:tc>
          <w:tcPr>
            <w:tcW w:w="453" w:type="pct"/>
          </w:tcPr>
          <w:p w14:paraId="20A719EE" w14:textId="77777777" w:rsidR="00E26BF4" w:rsidRPr="00AD172A" w:rsidRDefault="0034423F"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lastRenderedPageBreak/>
              <w:t>2012-present</w:t>
            </w:r>
          </w:p>
        </w:tc>
        <w:tc>
          <w:tcPr>
            <w:tcW w:w="696" w:type="pct"/>
          </w:tcPr>
          <w:p w14:paraId="0181A5CD" w14:textId="3E61F5A7" w:rsidR="00330D9D" w:rsidRDefault="00330D9D"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2013:</w:t>
            </w:r>
            <w:r w:rsidR="00581CC0">
              <w:rPr>
                <w:rFonts w:asciiTheme="majorHAnsi" w:hAnsiTheme="majorHAnsi"/>
              </w:rPr>
              <w:t xml:space="preserve"> $</w:t>
            </w:r>
            <w:r w:rsidR="00230F29">
              <w:rPr>
                <w:rFonts w:asciiTheme="majorHAnsi" w:hAnsiTheme="majorHAnsi"/>
              </w:rPr>
              <w:t>90,482</w:t>
            </w:r>
          </w:p>
          <w:p w14:paraId="0C5F33B1" w14:textId="77777777" w:rsidR="00330D9D" w:rsidRDefault="00330D9D"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2014:</w:t>
            </w:r>
            <w:r w:rsidR="00230F29">
              <w:rPr>
                <w:rFonts w:asciiTheme="majorHAnsi" w:hAnsiTheme="majorHAnsi"/>
              </w:rPr>
              <w:t xml:space="preserve"> $</w:t>
            </w:r>
            <w:r w:rsidR="00B43E78">
              <w:rPr>
                <w:rFonts w:asciiTheme="majorHAnsi" w:hAnsiTheme="majorHAnsi"/>
              </w:rPr>
              <w:t>98,217</w:t>
            </w:r>
          </w:p>
          <w:p w14:paraId="567D2D04" w14:textId="77777777" w:rsidR="00B43E78" w:rsidRDefault="00B43E78"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1B34DFC7" w14:textId="77777777" w:rsidR="00B43E78" w:rsidRDefault="00B43E78"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5679894B" w14:textId="77777777" w:rsidR="00B43E78" w:rsidRDefault="00B43E78"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0F94DE56" w14:textId="77777777" w:rsidR="00B43E78" w:rsidRDefault="00B43E78"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5D2245C8" w14:textId="77777777" w:rsidR="00B43E78" w:rsidRDefault="00B43E78"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06DC00DF" w14:textId="77777777" w:rsidR="00B43E78" w:rsidRDefault="00B43E78"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411A1E1D" w14:textId="77777777" w:rsidR="00B43E78" w:rsidRDefault="00B43E78"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220213BB" w14:textId="77777777" w:rsidR="00B43E78" w:rsidRDefault="00B43E78"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44BBB491" w14:textId="77777777" w:rsidR="00B43E78" w:rsidRDefault="00B43E78"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700AEB06" w14:textId="77777777" w:rsidR="00B43E78" w:rsidRDefault="00B43E78"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6DE748E7" w14:textId="77777777" w:rsidR="00B43E78" w:rsidRDefault="00B43E78"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5CE4AC58" w14:textId="77777777" w:rsidR="00B43E78" w:rsidRDefault="00B43E78"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4BB4917F" w14:textId="77777777" w:rsidR="00B43E78" w:rsidRDefault="00B43E78"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693E93B2" w14:textId="77777777" w:rsidR="00B43E78" w:rsidRDefault="00B43E78"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20B4F659" w14:textId="77777777" w:rsidR="00B43E78" w:rsidRDefault="00B43E78"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595B7046" w14:textId="77777777" w:rsidR="00B43E78" w:rsidRDefault="00B43E78"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23EF1342" w14:textId="77777777" w:rsidR="00B43E78" w:rsidRDefault="00B43E78"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25C29F0C" w14:textId="77777777" w:rsidR="00B43E78" w:rsidRDefault="00B43E78"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365C618E" w14:textId="77777777" w:rsidR="00B43E78" w:rsidRDefault="00B43E78"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11176865" w14:textId="77777777" w:rsidR="00B43E78" w:rsidRDefault="00B43E78"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4A0C9C12" w14:textId="77777777" w:rsidR="00B43E78" w:rsidRDefault="00B43E78"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60CC2CEA" w14:textId="77777777" w:rsidR="00B43E78" w:rsidRDefault="00B43E78"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2C8CAA5C" w14:textId="77777777" w:rsidR="00A20B67" w:rsidRDefault="00A20B67"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46F2BF58" w14:textId="77777777" w:rsidR="004A4F87" w:rsidRDefault="004A4F87"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291624C4" w14:textId="77777777" w:rsidR="00B43E78" w:rsidRDefault="00B43E78"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518D2E78" w14:textId="77777777" w:rsidR="00B43E78" w:rsidRDefault="00B43E78" w:rsidP="00B43E78">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b/>
                <w:i/>
              </w:rPr>
            </w:pPr>
            <w:r>
              <w:rPr>
                <w:rFonts w:asciiTheme="majorHAnsi" w:hAnsiTheme="majorHAnsi"/>
                <w:b/>
                <w:i/>
              </w:rPr>
              <w:t>Sub-total:</w:t>
            </w:r>
          </w:p>
          <w:p w14:paraId="459A787B" w14:textId="14918217" w:rsidR="00B43E78" w:rsidRPr="00B43E78" w:rsidRDefault="00B43E78" w:rsidP="00B43E78">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b/>
                <w:i/>
              </w:rPr>
            </w:pPr>
            <w:r>
              <w:rPr>
                <w:rFonts w:asciiTheme="majorHAnsi" w:hAnsiTheme="majorHAnsi"/>
                <w:b/>
                <w:i/>
              </w:rPr>
              <w:t>$188,699</w:t>
            </w:r>
          </w:p>
        </w:tc>
        <w:tc>
          <w:tcPr>
            <w:tcW w:w="1374" w:type="pct"/>
          </w:tcPr>
          <w:p w14:paraId="520CE94A" w14:textId="663F18D4" w:rsidR="00E26BF4" w:rsidRPr="00AD172A" w:rsidRDefault="00DC58D5" w:rsidP="009578B0">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lastRenderedPageBreak/>
              <w:t>Building on the Justice Initiative’s engagement in pursuit of a strategic litigation campaign in German</w:t>
            </w:r>
            <w:r w:rsidR="009578B0">
              <w:rPr>
                <w:rFonts w:asciiTheme="majorHAnsi" w:hAnsiTheme="majorHAnsi"/>
              </w:rPr>
              <w:t>y</w:t>
            </w:r>
            <w:r>
              <w:rPr>
                <w:rFonts w:asciiTheme="majorHAnsi" w:hAnsiTheme="majorHAnsi"/>
              </w:rPr>
              <w:t xml:space="preserve"> to challenge discriminatory practices in </w:t>
            </w:r>
            <w:r w:rsidR="009578B0">
              <w:rPr>
                <w:rFonts w:asciiTheme="majorHAnsi" w:hAnsiTheme="majorHAnsi"/>
              </w:rPr>
              <w:t>public</w:t>
            </w:r>
            <w:r>
              <w:rPr>
                <w:rFonts w:asciiTheme="majorHAnsi" w:hAnsiTheme="majorHAnsi"/>
              </w:rPr>
              <w:t xml:space="preserve"> education, non-litigation advocacy efforts have sought to </w:t>
            </w:r>
            <w:r w:rsidR="009578B0">
              <w:rPr>
                <w:rFonts w:asciiTheme="majorHAnsi" w:hAnsiTheme="majorHAnsi"/>
              </w:rPr>
              <w:t xml:space="preserve">further </w:t>
            </w:r>
            <w:r>
              <w:rPr>
                <w:rFonts w:asciiTheme="majorHAnsi" w:hAnsiTheme="majorHAnsi"/>
              </w:rPr>
              <w:t xml:space="preserve">highlight the inadequacies of the remedies afforded to students and parents to address discrimination complaints within the school system. </w:t>
            </w:r>
          </w:p>
        </w:tc>
      </w:tr>
      <w:tr w:rsidR="00582FAF" w:rsidRPr="00AD172A" w14:paraId="5828F5F1" w14:textId="77777777" w:rsidTr="00D13015">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D99594" w:themeFill="accent2" w:themeFillTint="99"/>
          </w:tcPr>
          <w:p w14:paraId="4BDC294B" w14:textId="303CA56F" w:rsidR="00582FAF" w:rsidRPr="00AD172A" w:rsidRDefault="00582FAF" w:rsidP="00582FAF">
            <w:pPr>
              <w:jc w:val="center"/>
              <w:rPr>
                <w:rFonts w:asciiTheme="majorHAnsi" w:hAnsiTheme="majorHAnsi"/>
              </w:rPr>
            </w:pPr>
            <w:r>
              <w:rPr>
                <w:rFonts w:asciiTheme="majorHAnsi" w:hAnsiTheme="majorHAnsi"/>
              </w:rPr>
              <w:lastRenderedPageBreak/>
              <w:t>SWITZERLAND</w:t>
            </w:r>
          </w:p>
        </w:tc>
      </w:tr>
      <w:tr w:rsidR="00DF4215" w:rsidRPr="00AD172A" w14:paraId="03FACD84" w14:textId="77777777" w:rsidTr="004A0700">
        <w:tc>
          <w:tcPr>
            <w:cnfStyle w:val="001000000000" w:firstRow="0" w:lastRow="0" w:firstColumn="1" w:lastColumn="0" w:oddVBand="0" w:evenVBand="0" w:oddHBand="0" w:evenHBand="0" w:firstRowFirstColumn="0" w:firstRowLastColumn="0" w:lastRowFirstColumn="0" w:lastRowLastColumn="0"/>
            <w:tcW w:w="815" w:type="pct"/>
          </w:tcPr>
          <w:p w14:paraId="366FF445" w14:textId="77777777" w:rsidR="00E26BF4" w:rsidRPr="00582FAF" w:rsidRDefault="004E240B" w:rsidP="00E26BF4">
            <w:pPr>
              <w:rPr>
                <w:rFonts w:asciiTheme="majorHAnsi" w:hAnsiTheme="majorHAnsi"/>
                <w:b w:val="0"/>
              </w:rPr>
            </w:pPr>
            <w:hyperlink r:id="rId44" w:history="1">
              <w:r w:rsidR="00582FAF" w:rsidRPr="00582FAF">
                <w:rPr>
                  <w:rStyle w:val="Hyperlink"/>
                  <w:rFonts w:asciiTheme="majorHAnsi" w:hAnsiTheme="majorHAnsi"/>
                  <w:b w:val="0"/>
                  <w:bCs w:val="0"/>
                  <w:i/>
                </w:rPr>
                <w:t>Ouardiri v. Switzerland</w:t>
              </w:r>
            </w:hyperlink>
            <w:r w:rsidR="00582FAF">
              <w:rPr>
                <w:rFonts w:asciiTheme="majorHAnsi" w:hAnsiTheme="majorHAnsi"/>
                <w:b w:val="0"/>
                <w:i/>
              </w:rPr>
              <w:t xml:space="preserve"> </w:t>
            </w:r>
            <w:r w:rsidR="00582FAF">
              <w:rPr>
                <w:rFonts w:asciiTheme="majorHAnsi" w:hAnsiTheme="majorHAnsi"/>
                <w:b w:val="0"/>
              </w:rPr>
              <w:t xml:space="preserve">(ECtHR: written comments 2010; declared inadmissible </w:t>
            </w:r>
            <w:r w:rsidR="00582FAF" w:rsidRPr="00B113EA">
              <w:rPr>
                <w:rFonts w:asciiTheme="majorHAnsi" w:hAnsiTheme="majorHAnsi"/>
                <w:b w:val="0"/>
              </w:rPr>
              <w:t>2011</w:t>
            </w:r>
            <w:r w:rsidR="00582FAF">
              <w:rPr>
                <w:rFonts w:asciiTheme="majorHAnsi" w:hAnsiTheme="majorHAnsi"/>
                <w:b w:val="0"/>
              </w:rPr>
              <w:t>)</w:t>
            </w:r>
          </w:p>
        </w:tc>
        <w:tc>
          <w:tcPr>
            <w:tcW w:w="1662" w:type="pct"/>
          </w:tcPr>
          <w:p w14:paraId="7FFACD1C" w14:textId="7B654E13" w:rsidR="00E26BF4" w:rsidRPr="00AD172A" w:rsidRDefault="006A4666" w:rsidP="00750FAC">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w:t>
            </w:r>
          </w:p>
        </w:tc>
        <w:tc>
          <w:tcPr>
            <w:tcW w:w="453" w:type="pct"/>
          </w:tcPr>
          <w:p w14:paraId="539BA767" w14:textId="77777777" w:rsidR="00E26BF4" w:rsidRPr="00AD172A" w:rsidRDefault="00DF4215"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2010</w:t>
            </w:r>
          </w:p>
        </w:tc>
        <w:tc>
          <w:tcPr>
            <w:tcW w:w="696" w:type="pct"/>
          </w:tcPr>
          <w:p w14:paraId="1571FA8E" w14:textId="77777777" w:rsidR="00E26BF4" w:rsidRPr="00AD172A" w:rsidRDefault="00DB7E36"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w:t>
            </w:r>
          </w:p>
        </w:tc>
        <w:tc>
          <w:tcPr>
            <w:tcW w:w="1374" w:type="pct"/>
          </w:tcPr>
          <w:p w14:paraId="50A5CEC9" w14:textId="08368BD8" w:rsidR="00E26BF4" w:rsidRPr="00AD172A" w:rsidRDefault="006A4666"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This case challenged a constitutional amendment in Switzerland that banned minarets. The Justice Initiative submitted a third party intervention upholding the importance of minarets in Muslim culture and arguing that the ban was discriminatory</w:t>
            </w:r>
            <w:r w:rsidR="006D793A">
              <w:rPr>
                <w:rFonts w:asciiTheme="majorHAnsi" w:hAnsiTheme="majorHAnsi"/>
              </w:rPr>
              <w:t>. The ECtHR dismissed the case as inadmissible in 2011, essentially for lack of standing.</w:t>
            </w:r>
          </w:p>
        </w:tc>
      </w:tr>
      <w:tr w:rsidR="00750FAC" w:rsidRPr="00AD172A" w14:paraId="01A9F195" w14:textId="77777777" w:rsidTr="00D13015">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D99594" w:themeFill="accent2" w:themeFillTint="99"/>
          </w:tcPr>
          <w:p w14:paraId="47AAE1EC" w14:textId="6CB22130" w:rsidR="00750FAC" w:rsidRPr="00AD172A" w:rsidRDefault="00750FAC" w:rsidP="00750FAC">
            <w:pPr>
              <w:jc w:val="center"/>
              <w:rPr>
                <w:rFonts w:asciiTheme="majorHAnsi" w:hAnsiTheme="majorHAnsi"/>
              </w:rPr>
            </w:pPr>
            <w:r>
              <w:rPr>
                <w:rFonts w:asciiTheme="majorHAnsi" w:hAnsiTheme="majorHAnsi"/>
              </w:rPr>
              <w:t>ITALY</w:t>
            </w:r>
            <w:r w:rsidR="00F15E86">
              <w:rPr>
                <w:rStyle w:val="FootnoteReference"/>
                <w:rFonts w:asciiTheme="majorHAnsi" w:hAnsiTheme="majorHAnsi"/>
              </w:rPr>
              <w:footnoteReference w:id="4"/>
            </w:r>
          </w:p>
        </w:tc>
      </w:tr>
      <w:tr w:rsidR="0034423F" w:rsidRPr="00AD172A" w14:paraId="0CCCDB9C" w14:textId="77777777" w:rsidTr="004A0700">
        <w:tc>
          <w:tcPr>
            <w:cnfStyle w:val="001000000000" w:firstRow="0" w:lastRow="0" w:firstColumn="1" w:lastColumn="0" w:oddVBand="0" w:evenVBand="0" w:oddHBand="0" w:evenHBand="0" w:firstRowFirstColumn="0" w:firstRowLastColumn="0" w:lastRowFirstColumn="0" w:lastRowLastColumn="0"/>
            <w:tcW w:w="815" w:type="pct"/>
          </w:tcPr>
          <w:p w14:paraId="6FA5823F" w14:textId="77777777" w:rsidR="00750FAC" w:rsidRPr="00DF4215" w:rsidRDefault="004E240B" w:rsidP="00E26BF4">
            <w:pPr>
              <w:rPr>
                <w:rFonts w:asciiTheme="majorHAnsi" w:hAnsiTheme="majorHAnsi"/>
                <w:b w:val="0"/>
              </w:rPr>
            </w:pPr>
            <w:hyperlink r:id="rId45" w:history="1">
              <w:r w:rsidR="00DF4215" w:rsidRPr="00DF4215">
                <w:rPr>
                  <w:rStyle w:val="Hyperlink"/>
                  <w:rFonts w:asciiTheme="majorHAnsi" w:hAnsiTheme="majorHAnsi"/>
                  <w:bCs w:val="0"/>
                  <w:i/>
                </w:rPr>
                <w:t>Salkanovic</w:t>
              </w:r>
              <w:r w:rsidR="00212D74" w:rsidRPr="00DF4215">
                <w:rPr>
                  <w:rStyle w:val="Hyperlink"/>
                  <w:rFonts w:asciiTheme="majorHAnsi" w:hAnsiTheme="majorHAnsi"/>
                  <w:bCs w:val="0"/>
                  <w:i/>
                </w:rPr>
                <w:t xml:space="preserve"> v. Italy</w:t>
              </w:r>
            </w:hyperlink>
            <w:r w:rsidR="00DF4215">
              <w:rPr>
                <w:rFonts w:asciiTheme="majorHAnsi" w:hAnsiTheme="majorHAnsi"/>
                <w:b w:val="0"/>
                <w:i/>
              </w:rPr>
              <w:t xml:space="preserve"> </w:t>
            </w:r>
            <w:r w:rsidR="00DF4215">
              <w:rPr>
                <w:rFonts w:asciiTheme="majorHAnsi" w:hAnsiTheme="majorHAnsi"/>
                <w:b w:val="0"/>
              </w:rPr>
              <w:t>(Tribunal of Rome: judgment 2013)</w:t>
            </w:r>
          </w:p>
        </w:tc>
        <w:tc>
          <w:tcPr>
            <w:tcW w:w="1662" w:type="pct"/>
          </w:tcPr>
          <w:p w14:paraId="3B828FAB" w14:textId="3F9D18EF" w:rsidR="00750FAC" w:rsidRPr="00750FAC" w:rsidRDefault="00750FAC" w:rsidP="00750FAC">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750FAC">
              <w:rPr>
                <w:rFonts w:asciiTheme="majorHAnsi" w:hAnsiTheme="majorHAnsi"/>
              </w:rPr>
              <w:t>Studio Legale Fachile</w:t>
            </w:r>
            <w:r w:rsidR="009B1415">
              <w:rPr>
                <w:rFonts w:asciiTheme="majorHAnsi" w:hAnsiTheme="majorHAnsi"/>
              </w:rPr>
              <w:t xml:space="preserve"> contract</w:t>
            </w:r>
            <w:r w:rsidRPr="00750FAC">
              <w:rPr>
                <w:rFonts w:asciiTheme="majorHAnsi" w:hAnsiTheme="majorHAnsi"/>
              </w:rPr>
              <w:t>: 70004367</w:t>
            </w:r>
            <w:r w:rsidR="00F90036">
              <w:rPr>
                <w:rFonts w:asciiTheme="majorHAnsi" w:hAnsiTheme="majorHAnsi"/>
              </w:rPr>
              <w:t xml:space="preserve"> (2012</w:t>
            </w:r>
            <w:r w:rsidR="00B17B2B">
              <w:rPr>
                <w:rFonts w:asciiTheme="majorHAnsi" w:hAnsiTheme="majorHAnsi"/>
              </w:rPr>
              <w:t>, $8,799; 2013, $4,634</w:t>
            </w:r>
            <w:r w:rsidR="00F90036">
              <w:rPr>
                <w:rFonts w:asciiTheme="majorHAnsi" w:hAnsiTheme="majorHAnsi"/>
              </w:rPr>
              <w:t>)</w:t>
            </w:r>
          </w:p>
          <w:p w14:paraId="1ACE5DFA" w14:textId="7C3D25DD" w:rsidR="00750FAC" w:rsidRPr="00AD172A" w:rsidRDefault="004E240B"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hyperlink r:id="rId46" w:history="1">
              <w:r w:rsidR="00BA0E95" w:rsidRPr="00BA0E95">
                <w:rPr>
                  <w:rStyle w:val="Hyperlink"/>
                  <w:rFonts w:asciiTheme="majorHAnsi" w:hAnsiTheme="majorHAnsi"/>
                </w:rPr>
                <w:t>C</w:t>
              </w:r>
              <w:r w:rsidR="006579BD">
                <w:rPr>
                  <w:rStyle w:val="Hyperlink"/>
                  <w:rFonts w:asciiTheme="majorHAnsi" w:hAnsiTheme="majorHAnsi"/>
                </w:rPr>
                <w:t xml:space="preserve">ommittee on the </w:t>
              </w:r>
              <w:r w:rsidR="00BA0E95" w:rsidRPr="00BA0E95">
                <w:rPr>
                  <w:rStyle w:val="Hyperlink"/>
                  <w:rFonts w:asciiTheme="majorHAnsi" w:hAnsiTheme="majorHAnsi"/>
                </w:rPr>
                <w:t>E</w:t>
              </w:r>
              <w:r w:rsidR="006579BD">
                <w:rPr>
                  <w:rStyle w:val="Hyperlink"/>
                  <w:rFonts w:asciiTheme="majorHAnsi" w:hAnsiTheme="majorHAnsi"/>
                </w:rPr>
                <w:t xml:space="preserve">limination of </w:t>
              </w:r>
              <w:r w:rsidR="00BA0E95" w:rsidRPr="00BA0E95">
                <w:rPr>
                  <w:rStyle w:val="Hyperlink"/>
                  <w:rFonts w:asciiTheme="majorHAnsi" w:hAnsiTheme="majorHAnsi"/>
                </w:rPr>
                <w:t>R</w:t>
              </w:r>
              <w:r w:rsidR="006579BD">
                <w:rPr>
                  <w:rStyle w:val="Hyperlink"/>
                  <w:rFonts w:asciiTheme="majorHAnsi" w:hAnsiTheme="majorHAnsi"/>
                </w:rPr>
                <w:t xml:space="preserve">acial </w:t>
              </w:r>
              <w:r w:rsidR="00BA0E95" w:rsidRPr="00BA0E95">
                <w:rPr>
                  <w:rStyle w:val="Hyperlink"/>
                  <w:rFonts w:asciiTheme="majorHAnsi" w:hAnsiTheme="majorHAnsi"/>
                </w:rPr>
                <w:t>D</w:t>
              </w:r>
              <w:r w:rsidR="006579BD">
                <w:rPr>
                  <w:rStyle w:val="Hyperlink"/>
                  <w:rFonts w:asciiTheme="majorHAnsi" w:hAnsiTheme="majorHAnsi"/>
                </w:rPr>
                <w:t>iscrimination (CERD)</w:t>
              </w:r>
              <w:r w:rsidR="00BA0E95" w:rsidRPr="00BA0E95">
                <w:rPr>
                  <w:rStyle w:val="Hyperlink"/>
                  <w:rFonts w:asciiTheme="majorHAnsi" w:hAnsiTheme="majorHAnsi"/>
                </w:rPr>
                <w:t xml:space="preserve"> submission</w:t>
              </w:r>
            </w:hyperlink>
            <w:r w:rsidR="00BA0E95">
              <w:rPr>
                <w:rFonts w:asciiTheme="majorHAnsi" w:hAnsiTheme="majorHAnsi"/>
              </w:rPr>
              <w:t xml:space="preserve"> (2012)</w:t>
            </w:r>
          </w:p>
        </w:tc>
        <w:tc>
          <w:tcPr>
            <w:tcW w:w="453" w:type="pct"/>
          </w:tcPr>
          <w:p w14:paraId="79F804E7" w14:textId="5F7FBD42" w:rsidR="00750FAC" w:rsidRPr="00AD172A" w:rsidRDefault="00330D9D"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w:t>
            </w:r>
            <w:r w:rsidR="006579BD" w:rsidRPr="006579BD">
              <w:rPr>
                <w:rFonts w:asciiTheme="majorHAnsi" w:hAnsiTheme="majorHAnsi"/>
              </w:rPr>
              <w:t>13</w:t>
            </w:r>
            <w:r w:rsidR="002C2F60">
              <w:rPr>
                <w:rFonts w:asciiTheme="majorHAnsi" w:hAnsiTheme="majorHAnsi"/>
              </w:rPr>
              <w:t>-present</w:t>
            </w:r>
          </w:p>
        </w:tc>
        <w:tc>
          <w:tcPr>
            <w:tcW w:w="696" w:type="pct"/>
          </w:tcPr>
          <w:p w14:paraId="4F599BA3" w14:textId="77777777" w:rsidR="00750FAC" w:rsidRDefault="006579BD"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2013: $8,799</w:t>
            </w:r>
          </w:p>
          <w:p w14:paraId="6638782C" w14:textId="77777777" w:rsidR="006579BD" w:rsidRDefault="006579BD"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2014:</w:t>
            </w:r>
            <w:r w:rsidR="00B17B2B">
              <w:rPr>
                <w:rFonts w:asciiTheme="majorHAnsi" w:hAnsiTheme="majorHAnsi"/>
              </w:rPr>
              <w:t xml:space="preserve"> $4,634</w:t>
            </w:r>
          </w:p>
          <w:p w14:paraId="1F670BA0" w14:textId="77777777" w:rsidR="001471C2" w:rsidRDefault="001471C2"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3D6F718F" w14:textId="77777777" w:rsidR="001471C2" w:rsidRDefault="001471C2"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77644EDE" w14:textId="77777777" w:rsidR="001471C2" w:rsidRDefault="001471C2"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5E328545" w14:textId="77777777" w:rsidR="001471C2" w:rsidRDefault="001471C2"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532F9430" w14:textId="77777777" w:rsidR="001471C2" w:rsidRDefault="001471C2"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6354D365" w14:textId="77777777" w:rsidR="001471C2" w:rsidRDefault="001471C2"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483EC15A" w14:textId="77777777" w:rsidR="001471C2" w:rsidRDefault="001471C2"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2A8C769C" w14:textId="77777777" w:rsidR="001471C2" w:rsidRDefault="001471C2"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69AEFB23" w14:textId="77777777" w:rsidR="001471C2" w:rsidRDefault="001471C2"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78E55DF4" w14:textId="77777777" w:rsidR="001471C2" w:rsidRDefault="001471C2"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12525D98" w14:textId="77777777" w:rsidR="001471C2" w:rsidRDefault="001471C2"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2A4A80EE" w14:textId="77777777" w:rsidR="00191CCC" w:rsidRDefault="00191CCC"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074102BB" w14:textId="77777777" w:rsidR="00191CCC" w:rsidRDefault="00191CCC"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6412725C" w14:textId="77777777" w:rsidR="00191CCC" w:rsidRDefault="00191CCC"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32BA16A1" w14:textId="77777777" w:rsidR="00191CCC" w:rsidRDefault="00191CCC"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2802E4D9" w14:textId="77777777" w:rsidR="00191CCC" w:rsidRDefault="00191CCC"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3EEDC997" w14:textId="77777777" w:rsidR="001471C2" w:rsidRDefault="001471C2" w:rsidP="001471C2">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b/>
                <w:i/>
              </w:rPr>
            </w:pPr>
            <w:r>
              <w:rPr>
                <w:rFonts w:asciiTheme="majorHAnsi" w:hAnsiTheme="majorHAnsi"/>
                <w:b/>
                <w:i/>
              </w:rPr>
              <w:t>Sub-total:</w:t>
            </w:r>
          </w:p>
          <w:p w14:paraId="3AE0FDE4" w14:textId="24F7471A" w:rsidR="001471C2" w:rsidRPr="001471C2" w:rsidRDefault="001471C2" w:rsidP="001471C2">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b/>
                <w:i/>
              </w:rPr>
            </w:pPr>
            <w:r>
              <w:rPr>
                <w:rFonts w:asciiTheme="majorHAnsi" w:hAnsiTheme="majorHAnsi"/>
                <w:b/>
                <w:i/>
              </w:rPr>
              <w:t>$13,433</w:t>
            </w:r>
          </w:p>
        </w:tc>
        <w:tc>
          <w:tcPr>
            <w:tcW w:w="1374" w:type="pct"/>
          </w:tcPr>
          <w:p w14:paraId="6478E3ED" w14:textId="77777777" w:rsidR="00750FAC" w:rsidRPr="00AD172A" w:rsidRDefault="002C2F60" w:rsidP="002C2F60">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2C2F60">
              <w:rPr>
                <w:rFonts w:asciiTheme="majorHAnsi" w:hAnsiTheme="majorHAnsi"/>
              </w:rPr>
              <w:lastRenderedPageBreak/>
              <w:t xml:space="preserve">In May 2008 the Italian government declared a state of emergency with regard to so-called “Nomads,” i.e. ethnic Roma and Sinti. Using emergency powers granted to them, local prefects conducted a census of Roma by taking fingerprints, photographs and other personal information. </w:t>
            </w:r>
            <w:r>
              <w:rPr>
                <w:rFonts w:asciiTheme="majorHAnsi" w:hAnsiTheme="majorHAnsi"/>
              </w:rPr>
              <w:t>In this case, the Justice Initiative successfully challenged the Roma census.</w:t>
            </w:r>
            <w:r w:rsidRPr="002C2F60">
              <w:rPr>
                <w:rFonts w:asciiTheme="majorHAnsi" w:hAnsiTheme="majorHAnsi"/>
              </w:rPr>
              <w:t xml:space="preserve"> The court ordered Italy’s Ministry of the Interior to </w:t>
            </w:r>
            <w:r w:rsidRPr="002C2F60">
              <w:rPr>
                <w:rFonts w:asciiTheme="majorHAnsi" w:hAnsiTheme="majorHAnsi"/>
              </w:rPr>
              <w:lastRenderedPageBreak/>
              <w:t>destroy Salkanovic’s data and to pay him compensation. However, the court failed to recognize the collective nature of the complaint and refused to order relief to the thousands of victims whose personal data continue to be held by the government.</w:t>
            </w:r>
          </w:p>
        </w:tc>
      </w:tr>
      <w:tr w:rsidR="0034423F" w:rsidRPr="00AD172A" w14:paraId="0576AF9D" w14:textId="77777777" w:rsidTr="004A0700">
        <w:tc>
          <w:tcPr>
            <w:cnfStyle w:val="001000000000" w:firstRow="0" w:lastRow="0" w:firstColumn="1" w:lastColumn="0" w:oddVBand="0" w:evenVBand="0" w:oddHBand="0" w:evenHBand="0" w:firstRowFirstColumn="0" w:firstRowLastColumn="0" w:lastRowFirstColumn="0" w:lastRowLastColumn="0"/>
            <w:tcW w:w="815" w:type="pct"/>
          </w:tcPr>
          <w:p w14:paraId="2A11A15A" w14:textId="3BB494A1" w:rsidR="00750FAC" w:rsidRPr="00DF4215" w:rsidRDefault="004E240B" w:rsidP="00E26BF4">
            <w:pPr>
              <w:rPr>
                <w:rFonts w:asciiTheme="majorHAnsi" w:hAnsiTheme="majorHAnsi"/>
                <w:b w:val="0"/>
              </w:rPr>
            </w:pPr>
            <w:hyperlink r:id="rId47" w:history="1">
              <w:r w:rsidR="00DF4215" w:rsidRPr="00DF4215">
                <w:rPr>
                  <w:rStyle w:val="Hyperlink"/>
                  <w:rFonts w:asciiTheme="majorHAnsi" w:hAnsiTheme="majorHAnsi"/>
                  <w:bCs w:val="0"/>
                  <w:i/>
                </w:rPr>
                <w:t>European Commission v. Italy</w:t>
              </w:r>
            </w:hyperlink>
            <w:r w:rsidR="00DF4215">
              <w:rPr>
                <w:rFonts w:asciiTheme="majorHAnsi" w:hAnsiTheme="majorHAnsi"/>
                <w:b w:val="0"/>
                <w:i/>
              </w:rPr>
              <w:t xml:space="preserve"> </w:t>
            </w:r>
            <w:r w:rsidR="00DF4215">
              <w:rPr>
                <w:rFonts w:asciiTheme="majorHAnsi" w:hAnsiTheme="majorHAnsi"/>
                <w:b w:val="0"/>
              </w:rPr>
              <w:t>(CJEU, ongoing)</w:t>
            </w:r>
          </w:p>
        </w:tc>
        <w:tc>
          <w:tcPr>
            <w:tcW w:w="1662" w:type="pct"/>
          </w:tcPr>
          <w:p w14:paraId="0167BD96" w14:textId="21F2761E" w:rsidR="00750FAC" w:rsidRPr="00AD172A" w:rsidRDefault="006579BD"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6579BD">
              <w:rPr>
                <w:rFonts w:asciiTheme="majorHAnsi" w:hAnsiTheme="majorHAnsi"/>
              </w:rPr>
              <w:t>--</w:t>
            </w:r>
          </w:p>
        </w:tc>
        <w:tc>
          <w:tcPr>
            <w:tcW w:w="453" w:type="pct"/>
          </w:tcPr>
          <w:p w14:paraId="03E0C656" w14:textId="77777777" w:rsidR="00750FAC" w:rsidRPr="00AD172A" w:rsidRDefault="002C2F60"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2010-present</w:t>
            </w:r>
          </w:p>
        </w:tc>
        <w:tc>
          <w:tcPr>
            <w:tcW w:w="696" w:type="pct"/>
          </w:tcPr>
          <w:p w14:paraId="6125967A" w14:textId="16ACBD87" w:rsidR="00F90036" w:rsidRPr="00AD172A" w:rsidRDefault="00F90036"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w:t>
            </w:r>
          </w:p>
        </w:tc>
        <w:tc>
          <w:tcPr>
            <w:tcW w:w="1374" w:type="pct"/>
          </w:tcPr>
          <w:p w14:paraId="7A0AA55C" w14:textId="19812252" w:rsidR="00750FAC" w:rsidRPr="00AD172A" w:rsidRDefault="00DF4215" w:rsidP="009578B0">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DF4215">
              <w:rPr>
                <w:rFonts w:asciiTheme="majorHAnsi" w:hAnsiTheme="majorHAnsi"/>
              </w:rPr>
              <w:t>Since 2009, the Justice Initiative, together with other organizations, has requested the European Commission to commence infringement proceedings against Italy for violations of EU racial antidiscrimination and data protection law. The Justice Initiative is also involved in domestic proceedings against the nomad emergency measures</w:t>
            </w:r>
            <w:r>
              <w:rPr>
                <w:rFonts w:asciiTheme="majorHAnsi" w:hAnsiTheme="majorHAnsi"/>
              </w:rPr>
              <w:t xml:space="preserve"> (</w:t>
            </w:r>
            <w:r>
              <w:rPr>
                <w:rFonts w:asciiTheme="majorHAnsi" w:hAnsiTheme="majorHAnsi"/>
                <w:i/>
              </w:rPr>
              <w:t>Omerovich v. Italy</w:t>
            </w:r>
            <w:r>
              <w:rPr>
                <w:rFonts w:asciiTheme="majorHAnsi" w:hAnsiTheme="majorHAnsi"/>
              </w:rPr>
              <w:t>)</w:t>
            </w:r>
            <w:r w:rsidRPr="00DF4215">
              <w:rPr>
                <w:rFonts w:asciiTheme="majorHAnsi" w:hAnsiTheme="majorHAnsi"/>
              </w:rPr>
              <w:t>.</w:t>
            </w:r>
          </w:p>
        </w:tc>
      </w:tr>
      <w:tr w:rsidR="00DF4215" w:rsidRPr="00AD172A" w14:paraId="7442EB2A" w14:textId="77777777" w:rsidTr="004A0700">
        <w:tc>
          <w:tcPr>
            <w:cnfStyle w:val="001000000000" w:firstRow="0" w:lastRow="0" w:firstColumn="1" w:lastColumn="0" w:oddVBand="0" w:evenVBand="0" w:oddHBand="0" w:evenHBand="0" w:firstRowFirstColumn="0" w:firstRowLastColumn="0" w:lastRowFirstColumn="0" w:lastRowLastColumn="0"/>
            <w:tcW w:w="815" w:type="pct"/>
          </w:tcPr>
          <w:p w14:paraId="353BD0CF" w14:textId="5E6CE6EC" w:rsidR="00DF4215" w:rsidRPr="00DF4215" w:rsidRDefault="004E240B" w:rsidP="00E26BF4">
            <w:pPr>
              <w:rPr>
                <w:rFonts w:asciiTheme="majorHAnsi" w:hAnsiTheme="majorHAnsi"/>
                <w:b w:val="0"/>
              </w:rPr>
            </w:pPr>
            <w:hyperlink r:id="rId48" w:history="1">
              <w:r w:rsidR="00DF4215" w:rsidRPr="00DF4215">
                <w:rPr>
                  <w:rStyle w:val="Hyperlink"/>
                  <w:rFonts w:asciiTheme="majorHAnsi" w:hAnsiTheme="majorHAnsi"/>
                  <w:b w:val="0"/>
                  <w:bCs w:val="0"/>
                  <w:i/>
                </w:rPr>
                <w:t>Omerovich v. Italy</w:t>
              </w:r>
            </w:hyperlink>
            <w:r w:rsidR="00DF4215">
              <w:rPr>
                <w:rFonts w:asciiTheme="majorHAnsi" w:hAnsiTheme="majorHAnsi"/>
                <w:b w:val="0"/>
                <w:i/>
              </w:rPr>
              <w:t xml:space="preserve"> </w:t>
            </w:r>
            <w:r w:rsidR="00DF4215">
              <w:rPr>
                <w:rFonts w:asciiTheme="majorHAnsi" w:hAnsiTheme="majorHAnsi"/>
                <w:b w:val="0"/>
              </w:rPr>
              <w:t>(</w:t>
            </w:r>
            <w:r w:rsidR="002C2F60">
              <w:rPr>
                <w:rFonts w:asciiTheme="majorHAnsi" w:hAnsiTheme="majorHAnsi"/>
                <w:b w:val="0"/>
              </w:rPr>
              <w:t>Milan civil tribunal: intervention filed 2010</w:t>
            </w:r>
            <w:r w:rsidR="00DF4215">
              <w:rPr>
                <w:rFonts w:asciiTheme="majorHAnsi" w:hAnsiTheme="majorHAnsi"/>
                <w:b w:val="0"/>
              </w:rPr>
              <w:t>)</w:t>
            </w:r>
          </w:p>
        </w:tc>
        <w:tc>
          <w:tcPr>
            <w:tcW w:w="1662" w:type="pct"/>
          </w:tcPr>
          <w:p w14:paraId="52C66692" w14:textId="351CCCAE" w:rsidR="00DF4215" w:rsidRPr="00AD172A" w:rsidRDefault="006579BD"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w:t>
            </w:r>
          </w:p>
        </w:tc>
        <w:tc>
          <w:tcPr>
            <w:tcW w:w="453" w:type="pct"/>
          </w:tcPr>
          <w:p w14:paraId="2059D2EC" w14:textId="77777777" w:rsidR="00DF4215" w:rsidRPr="00AD172A" w:rsidRDefault="002C2F60"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2010-2012</w:t>
            </w:r>
          </w:p>
        </w:tc>
        <w:tc>
          <w:tcPr>
            <w:tcW w:w="696" w:type="pct"/>
          </w:tcPr>
          <w:p w14:paraId="30FD6015" w14:textId="3072480D" w:rsidR="00F90036" w:rsidRPr="00AD172A" w:rsidRDefault="00F90036"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w:t>
            </w:r>
          </w:p>
        </w:tc>
        <w:tc>
          <w:tcPr>
            <w:tcW w:w="1374" w:type="pct"/>
          </w:tcPr>
          <w:p w14:paraId="035BCFE3" w14:textId="77777777" w:rsidR="00DF4215" w:rsidRPr="00AD172A" w:rsidRDefault="00DF4215" w:rsidP="00DF4215">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DF4215">
              <w:rPr>
                <w:rFonts w:asciiTheme="majorHAnsi" w:hAnsiTheme="majorHAnsi"/>
              </w:rPr>
              <w:t xml:space="preserve">The Justice Initiative </w:t>
            </w:r>
            <w:r>
              <w:rPr>
                <w:rFonts w:asciiTheme="majorHAnsi" w:hAnsiTheme="majorHAnsi"/>
              </w:rPr>
              <w:t>filed an amicus brief</w:t>
            </w:r>
            <w:r w:rsidRPr="00DF4215">
              <w:rPr>
                <w:rFonts w:asciiTheme="majorHAnsi" w:hAnsiTheme="majorHAnsi"/>
              </w:rPr>
              <w:t> in domestic proceedings in Milan challenging the Nomad Emergency Decree to argue that the provisions violate European law and should be referred to the Court of Justice of the European Union.</w:t>
            </w:r>
          </w:p>
        </w:tc>
      </w:tr>
      <w:tr w:rsidR="009B1415" w:rsidRPr="00AD172A" w14:paraId="4F752ED8" w14:textId="77777777" w:rsidTr="00D13015">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D99594" w:themeFill="accent2" w:themeFillTint="99"/>
          </w:tcPr>
          <w:p w14:paraId="464490D6" w14:textId="1C14979C" w:rsidR="009B1415" w:rsidRPr="009B1415" w:rsidRDefault="009B1415" w:rsidP="009B1415">
            <w:pPr>
              <w:jc w:val="center"/>
              <w:rPr>
                <w:rFonts w:asciiTheme="majorHAnsi" w:hAnsiTheme="majorHAnsi"/>
              </w:rPr>
            </w:pPr>
            <w:r>
              <w:rPr>
                <w:rFonts w:asciiTheme="majorHAnsi" w:hAnsiTheme="majorHAnsi"/>
              </w:rPr>
              <w:t>CZECH REPUBLIC</w:t>
            </w:r>
          </w:p>
        </w:tc>
      </w:tr>
      <w:tr w:rsidR="00DF4215" w:rsidRPr="00AD172A" w14:paraId="23504F8A" w14:textId="77777777" w:rsidTr="005E0583">
        <w:tc>
          <w:tcPr>
            <w:cnfStyle w:val="001000000000" w:firstRow="0" w:lastRow="0" w:firstColumn="1" w:lastColumn="0" w:oddVBand="0" w:evenVBand="0" w:oddHBand="0" w:evenHBand="0" w:firstRowFirstColumn="0" w:firstRowLastColumn="0" w:lastRowFirstColumn="0" w:lastRowLastColumn="0"/>
            <w:tcW w:w="815" w:type="pct"/>
            <w:tcBorders>
              <w:bottom w:val="single" w:sz="4" w:space="0" w:color="auto"/>
            </w:tcBorders>
          </w:tcPr>
          <w:p w14:paraId="5D92EAC9" w14:textId="1C89547D" w:rsidR="009B1415" w:rsidRPr="009B1415" w:rsidRDefault="00140600" w:rsidP="00E26BF4">
            <w:pPr>
              <w:rPr>
                <w:rFonts w:asciiTheme="majorHAnsi" w:hAnsiTheme="majorHAnsi"/>
                <w:b w:val="0"/>
              </w:rPr>
            </w:pPr>
            <w:r w:rsidRPr="00140600">
              <w:rPr>
                <w:rFonts w:asciiTheme="majorHAnsi" w:hAnsiTheme="majorHAnsi"/>
                <w:b w:val="0"/>
              </w:rPr>
              <w:t>Implementation of</w:t>
            </w:r>
            <w:r>
              <w:t xml:space="preserve"> </w:t>
            </w:r>
            <w:hyperlink r:id="rId49" w:history="1">
              <w:r w:rsidR="009B1415" w:rsidRPr="009B1415">
                <w:rPr>
                  <w:rStyle w:val="Hyperlink"/>
                  <w:rFonts w:asciiTheme="majorHAnsi" w:hAnsiTheme="majorHAnsi"/>
                  <w:bCs w:val="0"/>
                  <w:i/>
                </w:rPr>
                <w:t>D.H. and Others v. Czech Republic</w:t>
              </w:r>
            </w:hyperlink>
            <w:r w:rsidR="009B1415">
              <w:rPr>
                <w:rFonts w:asciiTheme="majorHAnsi" w:hAnsiTheme="majorHAnsi"/>
                <w:b w:val="0"/>
                <w:i/>
              </w:rPr>
              <w:t xml:space="preserve"> </w:t>
            </w:r>
            <w:r w:rsidR="009B1415">
              <w:rPr>
                <w:rFonts w:asciiTheme="majorHAnsi" w:hAnsiTheme="majorHAnsi"/>
                <w:b w:val="0"/>
              </w:rPr>
              <w:t>(ECtHR,</w:t>
            </w:r>
            <w:r w:rsidR="00FC4279">
              <w:rPr>
                <w:rFonts w:asciiTheme="majorHAnsi" w:hAnsiTheme="majorHAnsi"/>
                <w:b w:val="0"/>
              </w:rPr>
              <w:t xml:space="preserve"> judgment 2007</w:t>
            </w:r>
            <w:r w:rsidR="009B1415">
              <w:rPr>
                <w:rFonts w:asciiTheme="majorHAnsi" w:hAnsiTheme="majorHAnsi"/>
                <w:b w:val="0"/>
              </w:rPr>
              <w:t>)</w:t>
            </w:r>
          </w:p>
        </w:tc>
        <w:tc>
          <w:tcPr>
            <w:tcW w:w="1662" w:type="pct"/>
            <w:tcBorders>
              <w:bottom w:val="single" w:sz="4" w:space="0" w:color="auto"/>
            </w:tcBorders>
          </w:tcPr>
          <w:p w14:paraId="68460472" w14:textId="2DD1C55D" w:rsidR="009B1415" w:rsidRPr="00AD172A" w:rsidRDefault="006579BD" w:rsidP="006579B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6579BD">
              <w:rPr>
                <w:rFonts w:asciiTheme="majorHAnsi" w:hAnsiTheme="majorHAnsi"/>
                <w:b/>
              </w:rPr>
              <w:t>PLEASE SEE</w:t>
            </w:r>
            <w:r>
              <w:rPr>
                <w:rFonts w:asciiTheme="majorHAnsi" w:hAnsiTheme="majorHAnsi"/>
              </w:rPr>
              <w:t>: o</w:t>
            </w:r>
            <w:r w:rsidR="00DF4215">
              <w:rPr>
                <w:rFonts w:asciiTheme="majorHAnsi" w:hAnsiTheme="majorHAnsi"/>
              </w:rPr>
              <w:t xml:space="preserve">perational activities and associated spending covered in the </w:t>
            </w:r>
            <w:hyperlink r:id="rId50" w:history="1">
              <w:r w:rsidR="00DF4215" w:rsidRPr="0019643B">
                <w:rPr>
                  <w:rStyle w:val="Hyperlink"/>
                  <w:rFonts w:asciiTheme="majorHAnsi" w:hAnsiTheme="majorHAnsi"/>
                </w:rPr>
                <w:t>D.H. Implementation Portfolio Review</w:t>
              </w:r>
            </w:hyperlink>
            <w:r w:rsidR="00DF4215">
              <w:rPr>
                <w:rFonts w:asciiTheme="majorHAnsi" w:hAnsiTheme="majorHAnsi"/>
              </w:rPr>
              <w:t xml:space="preserve"> materials.</w:t>
            </w:r>
          </w:p>
        </w:tc>
        <w:tc>
          <w:tcPr>
            <w:tcW w:w="453" w:type="pct"/>
            <w:tcBorders>
              <w:bottom w:val="single" w:sz="4" w:space="0" w:color="auto"/>
            </w:tcBorders>
          </w:tcPr>
          <w:p w14:paraId="61258B0A" w14:textId="77777777" w:rsidR="009B1415" w:rsidRPr="00AD172A" w:rsidRDefault="0019643B"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2007</w:t>
            </w:r>
            <w:r w:rsidR="00DF4215">
              <w:rPr>
                <w:rFonts w:asciiTheme="majorHAnsi" w:hAnsiTheme="majorHAnsi"/>
              </w:rPr>
              <w:t>-present</w:t>
            </w:r>
          </w:p>
        </w:tc>
        <w:tc>
          <w:tcPr>
            <w:tcW w:w="696" w:type="pct"/>
            <w:tcBorders>
              <w:bottom w:val="single" w:sz="4" w:space="0" w:color="auto"/>
            </w:tcBorders>
          </w:tcPr>
          <w:p w14:paraId="20127288" w14:textId="77777777" w:rsidR="002432DE" w:rsidRDefault="002432DE" w:rsidP="00F90036">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p w14:paraId="7EC090C9" w14:textId="77777777" w:rsidR="002432DE" w:rsidRDefault="002432DE" w:rsidP="00F90036">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p w14:paraId="3C7F76DD" w14:textId="77777777" w:rsidR="002432DE" w:rsidRDefault="002432DE" w:rsidP="00F90036">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p w14:paraId="1CAD2F39" w14:textId="77777777" w:rsidR="00624B51" w:rsidRDefault="00624B51" w:rsidP="00F90036">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p w14:paraId="7853E19C" w14:textId="6DBE560B" w:rsidR="009B1415" w:rsidRPr="00AD172A" w:rsidRDefault="00F90036" w:rsidP="00F90036">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2722BD">
              <w:rPr>
                <w:rFonts w:asciiTheme="majorHAnsi" w:hAnsiTheme="majorHAnsi"/>
                <w:b/>
                <w:i/>
              </w:rPr>
              <w:t xml:space="preserve">Sub-total: </w:t>
            </w:r>
            <w:r w:rsidR="00DB7E36" w:rsidRPr="002722BD">
              <w:rPr>
                <w:rFonts w:asciiTheme="majorHAnsi" w:hAnsiTheme="majorHAnsi"/>
                <w:b/>
                <w:i/>
              </w:rPr>
              <w:lastRenderedPageBreak/>
              <w:t>$67,500</w:t>
            </w:r>
            <w:r w:rsidR="005B066D">
              <w:rPr>
                <w:rStyle w:val="FootnoteReference"/>
                <w:rFonts w:asciiTheme="majorHAnsi" w:hAnsiTheme="majorHAnsi"/>
              </w:rPr>
              <w:footnoteReference w:id="5"/>
            </w:r>
          </w:p>
        </w:tc>
        <w:tc>
          <w:tcPr>
            <w:tcW w:w="1374" w:type="pct"/>
            <w:tcBorders>
              <w:bottom w:val="single" w:sz="4" w:space="0" w:color="auto"/>
            </w:tcBorders>
          </w:tcPr>
          <w:p w14:paraId="45031BDA" w14:textId="77777777" w:rsidR="009B1415" w:rsidRPr="00DB7E36" w:rsidRDefault="00DB7E36"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lastRenderedPageBreak/>
              <w:t xml:space="preserve">The Justice Initiative has engaged in dynamic joint efforts by several OSF programs to ensure that the landmark judgment in </w:t>
            </w:r>
            <w:r>
              <w:rPr>
                <w:rFonts w:asciiTheme="majorHAnsi" w:hAnsiTheme="majorHAnsi"/>
                <w:i/>
              </w:rPr>
              <w:t>D.H. and Others v. Czech Republic</w:t>
            </w:r>
            <w:r>
              <w:rPr>
                <w:rFonts w:asciiTheme="majorHAnsi" w:hAnsiTheme="majorHAnsi"/>
              </w:rPr>
              <w:t xml:space="preserve"> is </w:t>
            </w:r>
            <w:r>
              <w:rPr>
                <w:rFonts w:asciiTheme="majorHAnsi" w:hAnsiTheme="majorHAnsi"/>
              </w:rPr>
              <w:lastRenderedPageBreak/>
              <w:t xml:space="preserve">implemented in practice. </w:t>
            </w:r>
          </w:p>
        </w:tc>
      </w:tr>
      <w:tr w:rsidR="00151F6E" w:rsidRPr="00AD172A" w14:paraId="65275B80" w14:textId="77777777" w:rsidTr="005E0583">
        <w:tc>
          <w:tcPr>
            <w:cnfStyle w:val="001000000000" w:firstRow="0" w:lastRow="0" w:firstColumn="1" w:lastColumn="0" w:oddVBand="0" w:evenVBand="0" w:oddHBand="0" w:evenHBand="0" w:firstRowFirstColumn="0" w:firstRowLastColumn="0" w:lastRowFirstColumn="0" w:lastRowLastColumn="0"/>
            <w:tcW w:w="5000" w:type="pct"/>
            <w:gridSpan w:val="5"/>
            <w:tcBorders>
              <w:bottom w:val="single" w:sz="4" w:space="0" w:color="auto"/>
            </w:tcBorders>
            <w:shd w:val="clear" w:color="auto" w:fill="D99594" w:themeFill="accent2" w:themeFillTint="99"/>
          </w:tcPr>
          <w:p w14:paraId="5B0836B3" w14:textId="77777777" w:rsidR="00151F6E" w:rsidRPr="00151F6E" w:rsidRDefault="00151F6E" w:rsidP="00151F6E">
            <w:pPr>
              <w:jc w:val="center"/>
              <w:rPr>
                <w:rFonts w:asciiTheme="majorHAnsi" w:hAnsiTheme="majorHAnsi"/>
              </w:rPr>
            </w:pPr>
            <w:r>
              <w:rPr>
                <w:rFonts w:asciiTheme="majorHAnsi" w:hAnsiTheme="majorHAnsi"/>
              </w:rPr>
              <w:lastRenderedPageBreak/>
              <w:t>REGIONAL</w:t>
            </w:r>
          </w:p>
        </w:tc>
      </w:tr>
      <w:tr w:rsidR="00151F6E" w:rsidRPr="00AD172A" w14:paraId="02D53A17" w14:textId="77777777" w:rsidTr="005E0583">
        <w:tc>
          <w:tcPr>
            <w:cnfStyle w:val="001000000000" w:firstRow="0" w:lastRow="0" w:firstColumn="1" w:lastColumn="0" w:oddVBand="0" w:evenVBand="0" w:oddHBand="0" w:evenHBand="0" w:firstRowFirstColumn="0" w:firstRowLastColumn="0" w:lastRowFirstColumn="0" w:lastRowLastColumn="0"/>
            <w:tcW w:w="815" w:type="pct"/>
            <w:tcBorders>
              <w:top w:val="single" w:sz="4" w:space="0" w:color="auto"/>
            </w:tcBorders>
          </w:tcPr>
          <w:p w14:paraId="31EE1B9C" w14:textId="5A665E11" w:rsidR="00151F6E" w:rsidRPr="00151F6E" w:rsidRDefault="004E240B" w:rsidP="00E26BF4">
            <w:pPr>
              <w:rPr>
                <w:rFonts w:asciiTheme="majorHAnsi" w:hAnsiTheme="majorHAnsi"/>
                <w:b w:val="0"/>
              </w:rPr>
            </w:pPr>
            <w:hyperlink r:id="rId51" w:history="1">
              <w:r w:rsidR="00151F6E" w:rsidRPr="00AB37CE">
                <w:rPr>
                  <w:rStyle w:val="Hyperlink"/>
                  <w:rFonts w:asciiTheme="majorHAnsi" w:hAnsiTheme="majorHAnsi"/>
                  <w:b w:val="0"/>
                  <w:bCs w:val="0"/>
                </w:rPr>
                <w:t>Equality Data Initiative</w:t>
              </w:r>
            </w:hyperlink>
          </w:p>
        </w:tc>
        <w:tc>
          <w:tcPr>
            <w:tcW w:w="1662" w:type="pct"/>
            <w:tcBorders>
              <w:top w:val="single" w:sz="4" w:space="0" w:color="auto"/>
            </w:tcBorders>
          </w:tcPr>
          <w:p w14:paraId="69FE15AE" w14:textId="3D6B0054" w:rsidR="006579BD" w:rsidRDefault="006579BD"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b/>
              </w:rPr>
              <w:t>Individual consultancies</w:t>
            </w:r>
          </w:p>
          <w:p w14:paraId="28E53309" w14:textId="77777777" w:rsidR="002722BD" w:rsidRDefault="0067596C" w:rsidP="0067596C">
            <w:pPr>
              <w:tabs>
                <w:tab w:val="left" w:pos="960"/>
              </w:tabs>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67596C">
              <w:rPr>
                <w:rFonts w:asciiTheme="majorHAnsi" w:hAnsiTheme="majorHAnsi"/>
              </w:rPr>
              <w:t>Angelina Atanasova</w:t>
            </w:r>
            <w:r>
              <w:rPr>
                <w:rFonts w:asciiTheme="majorHAnsi" w:hAnsiTheme="majorHAnsi"/>
              </w:rPr>
              <w:t xml:space="preserve"> (2013, $15,000</w:t>
            </w:r>
            <w:r w:rsidR="002722BD">
              <w:rPr>
                <w:rFonts w:asciiTheme="majorHAnsi" w:hAnsiTheme="majorHAnsi"/>
              </w:rPr>
              <w:t>; 2014, $12,500 (OSEPI)</w:t>
            </w:r>
            <w:r>
              <w:rPr>
                <w:rFonts w:asciiTheme="majorHAnsi" w:hAnsiTheme="majorHAnsi"/>
              </w:rPr>
              <w:t>)</w:t>
            </w:r>
          </w:p>
          <w:p w14:paraId="6A75F532" w14:textId="0017310E" w:rsidR="002722BD" w:rsidRDefault="002722BD" w:rsidP="0067596C">
            <w:pPr>
              <w:tabs>
                <w:tab w:val="left" w:pos="960"/>
              </w:tabs>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Claire Fernandez (2014, $9,000 (OSEPI))</w:t>
            </w:r>
          </w:p>
          <w:p w14:paraId="4CF866FD" w14:textId="3ADE6CFE" w:rsidR="006579BD" w:rsidRPr="006579BD" w:rsidRDefault="002722BD" w:rsidP="0067596C">
            <w:pPr>
              <w:tabs>
                <w:tab w:val="left" w:pos="960"/>
              </w:tabs>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Migration Policy Group (2014, $24,375 (OSEPI))</w:t>
            </w:r>
            <w:r w:rsidR="0067596C">
              <w:rPr>
                <w:rFonts w:asciiTheme="majorHAnsi" w:hAnsiTheme="majorHAnsi"/>
              </w:rPr>
              <w:tab/>
            </w:r>
          </w:p>
          <w:p w14:paraId="5392AFB1" w14:textId="77777777" w:rsidR="006579BD" w:rsidRDefault="006579BD"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p w14:paraId="16A60EE9" w14:textId="3FE908A9" w:rsidR="006579BD" w:rsidRDefault="006579BD"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6579BD">
              <w:rPr>
                <w:rFonts w:asciiTheme="majorHAnsi" w:hAnsiTheme="majorHAnsi"/>
                <w:b/>
              </w:rPr>
              <w:t>PLEASE SEE</w:t>
            </w:r>
            <w:r>
              <w:rPr>
                <w:rFonts w:asciiTheme="majorHAnsi" w:hAnsiTheme="majorHAnsi"/>
              </w:rPr>
              <w:t>:</w:t>
            </w:r>
            <w:r w:rsidR="00151F6E">
              <w:rPr>
                <w:rFonts w:asciiTheme="majorHAnsi" w:hAnsiTheme="majorHAnsi"/>
              </w:rPr>
              <w:t xml:space="preserve"> Equality Data Initiative Portfolio Review materials (staff level, 2014)</w:t>
            </w:r>
          </w:p>
        </w:tc>
        <w:tc>
          <w:tcPr>
            <w:tcW w:w="453" w:type="pct"/>
            <w:tcBorders>
              <w:top w:val="single" w:sz="4" w:space="0" w:color="auto"/>
            </w:tcBorders>
          </w:tcPr>
          <w:p w14:paraId="7B96AEF2" w14:textId="086F04B6" w:rsidR="00151F6E" w:rsidRDefault="00151F6E"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w:t>
            </w:r>
            <w:r w:rsidR="0067596C" w:rsidRPr="0067596C">
              <w:rPr>
                <w:rFonts w:asciiTheme="majorHAnsi" w:hAnsiTheme="majorHAnsi"/>
              </w:rPr>
              <w:t>13</w:t>
            </w:r>
            <w:r w:rsidR="002722BD">
              <w:rPr>
                <w:rFonts w:asciiTheme="majorHAnsi" w:hAnsiTheme="majorHAnsi"/>
              </w:rPr>
              <w:t>-14</w:t>
            </w:r>
          </w:p>
        </w:tc>
        <w:tc>
          <w:tcPr>
            <w:tcW w:w="696" w:type="pct"/>
            <w:tcBorders>
              <w:top w:val="single" w:sz="4" w:space="0" w:color="auto"/>
            </w:tcBorders>
          </w:tcPr>
          <w:p w14:paraId="26145D1C" w14:textId="77777777" w:rsidR="00151F6E" w:rsidRDefault="002722BD" w:rsidP="005B066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2013: $15,000</w:t>
            </w:r>
          </w:p>
          <w:p w14:paraId="14C18CE7" w14:textId="77777777" w:rsidR="002722BD" w:rsidRDefault="002722BD" w:rsidP="005B066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2014: $45,875</w:t>
            </w:r>
          </w:p>
          <w:p w14:paraId="26299512" w14:textId="77777777" w:rsidR="002722BD" w:rsidRDefault="002722BD" w:rsidP="005B066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2448A98F" w14:textId="77777777" w:rsidR="002722BD" w:rsidRDefault="002722BD" w:rsidP="005B066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129D9A82" w14:textId="77777777" w:rsidR="002722BD" w:rsidRDefault="002722BD" w:rsidP="005B066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433D329C" w14:textId="77777777" w:rsidR="002722BD" w:rsidRDefault="002722BD" w:rsidP="005B066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1DCB6C28" w14:textId="77777777" w:rsidR="002722BD" w:rsidRDefault="002722BD" w:rsidP="005B066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2000FA13" w14:textId="77777777" w:rsidR="002722BD" w:rsidRDefault="002722BD" w:rsidP="005B066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60865F93" w14:textId="77777777" w:rsidR="002722BD" w:rsidRDefault="002722BD" w:rsidP="002722BD">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b/>
                <w:i/>
              </w:rPr>
            </w:pPr>
            <w:r>
              <w:rPr>
                <w:rFonts w:asciiTheme="majorHAnsi" w:hAnsiTheme="majorHAnsi"/>
                <w:b/>
                <w:i/>
              </w:rPr>
              <w:t>Sub-total:</w:t>
            </w:r>
          </w:p>
          <w:p w14:paraId="5EC283DB" w14:textId="06C7E24A" w:rsidR="002722BD" w:rsidRPr="002722BD" w:rsidRDefault="002722BD" w:rsidP="002722BD">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b/>
                <w:i/>
              </w:rPr>
            </w:pPr>
            <w:r>
              <w:rPr>
                <w:rFonts w:asciiTheme="majorHAnsi" w:hAnsiTheme="majorHAnsi"/>
                <w:b/>
                <w:i/>
              </w:rPr>
              <w:t>$60,875</w:t>
            </w:r>
          </w:p>
        </w:tc>
        <w:tc>
          <w:tcPr>
            <w:tcW w:w="1374" w:type="pct"/>
            <w:tcBorders>
              <w:top w:val="single" w:sz="4" w:space="0" w:color="auto"/>
            </w:tcBorders>
          </w:tcPr>
          <w:p w14:paraId="674951D5" w14:textId="0791D908" w:rsidR="00151F6E" w:rsidRDefault="00DC58D5" w:rsidP="00E26BF4">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The Equality Data Initiative is a multifaceted advocacy campaign to push for the collection of disaggregated data on specific minority groups in Europe.</w:t>
            </w:r>
          </w:p>
        </w:tc>
      </w:tr>
    </w:tbl>
    <w:p w14:paraId="3FF5C15D" w14:textId="77777777" w:rsidR="006A0160" w:rsidRPr="006A0160" w:rsidRDefault="006A0160" w:rsidP="00AD172A">
      <w:pPr>
        <w:rPr>
          <w:rStyle w:val="IntenseEmphasis"/>
          <w:rFonts w:asciiTheme="majorHAnsi" w:hAnsiTheme="majorHAnsi"/>
          <w:i w:val="0"/>
          <w:color w:val="808080" w:themeColor="background1" w:themeShade="80"/>
          <w:sz w:val="20"/>
          <w:szCs w:val="20"/>
        </w:rPr>
      </w:pPr>
    </w:p>
    <w:sectPr w:rsidR="006A0160" w:rsidRPr="006A0160" w:rsidSect="00187963">
      <w:footerReference w:type="even" r:id="rId52"/>
      <w:footerReference w:type="default" r:id="rId53"/>
      <w:headerReference w:type="first" r:id="rId54"/>
      <w:footerReference w:type="first" r:id="rId55"/>
      <w:footnotePr>
        <w:numFmt w:val="chicago"/>
      </w:footnotePr>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CF2F1A" w14:textId="77777777" w:rsidR="003736DC" w:rsidRDefault="003736DC" w:rsidP="006A0160">
      <w:pPr>
        <w:spacing w:after="0" w:line="240" w:lineRule="auto"/>
      </w:pPr>
      <w:r>
        <w:separator/>
      </w:r>
    </w:p>
  </w:endnote>
  <w:endnote w:type="continuationSeparator" w:id="0">
    <w:p w14:paraId="0B9974BF" w14:textId="77777777" w:rsidR="003736DC" w:rsidRDefault="003736DC" w:rsidP="006A01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734255"/>
      <w:docPartObj>
        <w:docPartGallery w:val="Page Numbers (Bottom of Page)"/>
        <w:docPartUnique/>
      </w:docPartObj>
    </w:sdtPr>
    <w:sdtEndPr>
      <w:rPr>
        <w:noProof/>
      </w:rPr>
    </w:sdtEndPr>
    <w:sdtContent>
      <w:p w14:paraId="7119EBB0" w14:textId="77777777" w:rsidR="00DC58D5" w:rsidRDefault="00DC58D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A73BB3F" w14:textId="77777777" w:rsidR="00DC58D5" w:rsidRDefault="00DC58D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3102138"/>
      <w:docPartObj>
        <w:docPartGallery w:val="Page Numbers (Bottom of Page)"/>
        <w:docPartUnique/>
      </w:docPartObj>
    </w:sdtPr>
    <w:sdtEndPr>
      <w:rPr>
        <w:noProof/>
      </w:rPr>
    </w:sdtEndPr>
    <w:sdtContent>
      <w:p w14:paraId="686491B2" w14:textId="77777777" w:rsidR="00DC58D5" w:rsidRDefault="00DC58D5">
        <w:pPr>
          <w:pStyle w:val="Footer"/>
          <w:jc w:val="right"/>
        </w:pPr>
        <w:r>
          <w:fldChar w:fldCharType="begin"/>
        </w:r>
        <w:r>
          <w:instrText xml:space="preserve"> PAGE   \* MERGEFORMAT </w:instrText>
        </w:r>
        <w:r>
          <w:fldChar w:fldCharType="separate"/>
        </w:r>
        <w:r w:rsidR="004E240B">
          <w:rPr>
            <w:noProof/>
          </w:rPr>
          <w:t>8</w:t>
        </w:r>
        <w:r>
          <w:rPr>
            <w:noProof/>
          </w:rPr>
          <w:fldChar w:fldCharType="end"/>
        </w:r>
      </w:p>
    </w:sdtContent>
  </w:sdt>
  <w:p w14:paraId="753636A6" w14:textId="77777777" w:rsidR="00DC58D5" w:rsidRDefault="00DC58D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AE771" w14:textId="77777777" w:rsidR="00DC58D5" w:rsidRDefault="00DC58D5" w:rsidP="00187963">
    <w:pPr>
      <w:spacing w:after="0" w:line="240" w:lineRule="auto"/>
      <w:rPr>
        <w:rStyle w:val="IntenseEmphasis"/>
        <w:rFonts w:asciiTheme="majorHAnsi" w:hAnsiTheme="majorHAnsi"/>
        <w:i w:val="0"/>
        <w:color w:val="808080" w:themeColor="background1" w:themeShade="80"/>
        <w:sz w:val="20"/>
        <w:szCs w:val="20"/>
      </w:rPr>
    </w:pPr>
  </w:p>
  <w:p w14:paraId="43F05131" w14:textId="77777777" w:rsidR="00DC58D5" w:rsidRPr="006A0160" w:rsidRDefault="00DC58D5" w:rsidP="00187963">
    <w:pPr>
      <w:spacing w:after="0" w:line="240" w:lineRule="auto"/>
      <w:rPr>
        <w:rStyle w:val="IntenseEmphasis"/>
        <w:rFonts w:asciiTheme="majorHAnsi" w:hAnsiTheme="majorHAnsi"/>
        <w:i w:val="0"/>
        <w:color w:val="808080" w:themeColor="background1" w:themeShade="80"/>
        <w:sz w:val="20"/>
        <w:szCs w:val="20"/>
      </w:rPr>
    </w:pPr>
    <w:r w:rsidRPr="006A0160">
      <w:rPr>
        <w:rStyle w:val="IntenseEmphasis"/>
        <w:rFonts w:asciiTheme="majorHAnsi" w:hAnsiTheme="majorHAnsi"/>
        <w:i w:val="0"/>
        <w:color w:val="808080" w:themeColor="background1" w:themeShade="80"/>
        <w:sz w:val="20"/>
        <w:szCs w:val="20"/>
      </w:rPr>
      <w:t>Key:</w:t>
    </w:r>
  </w:p>
  <w:p w14:paraId="75678D54" w14:textId="77777777" w:rsidR="00DC58D5" w:rsidRDefault="00DC58D5" w:rsidP="00187963">
    <w:pPr>
      <w:spacing w:after="0" w:line="240" w:lineRule="auto"/>
      <w:rPr>
        <w:rStyle w:val="IntenseEmphasis"/>
        <w:rFonts w:asciiTheme="majorHAnsi" w:hAnsiTheme="majorHAnsi"/>
        <w:b w:val="0"/>
        <w:i w:val="0"/>
        <w:color w:val="808080" w:themeColor="background1" w:themeShade="80"/>
        <w:sz w:val="20"/>
        <w:szCs w:val="20"/>
      </w:rPr>
    </w:pPr>
    <w:r>
      <w:rPr>
        <w:rStyle w:val="IntenseEmphasis"/>
        <w:rFonts w:asciiTheme="majorHAnsi" w:hAnsiTheme="majorHAnsi"/>
        <w:b w:val="0"/>
        <w:i w:val="0"/>
        <w:color w:val="808080" w:themeColor="background1" w:themeShade="80"/>
        <w:sz w:val="20"/>
        <w:szCs w:val="20"/>
      </w:rPr>
      <w:t xml:space="preserve">Cases are listed in </w:t>
    </w:r>
    <w:r>
      <w:rPr>
        <w:rStyle w:val="IntenseEmphasis"/>
        <w:rFonts w:asciiTheme="majorHAnsi" w:hAnsiTheme="majorHAnsi"/>
        <w:b w:val="0"/>
        <w:color w:val="808080" w:themeColor="background1" w:themeShade="80"/>
        <w:sz w:val="20"/>
        <w:szCs w:val="20"/>
      </w:rPr>
      <w:t>italics</w:t>
    </w:r>
  </w:p>
  <w:p w14:paraId="20A5C920" w14:textId="77777777" w:rsidR="00DC58D5" w:rsidRDefault="00DC58D5" w:rsidP="00187963">
    <w:pPr>
      <w:spacing w:after="0" w:line="240" w:lineRule="auto"/>
      <w:rPr>
        <w:rStyle w:val="IntenseEmphasis"/>
        <w:rFonts w:asciiTheme="majorHAnsi" w:hAnsiTheme="majorHAnsi"/>
        <w:b w:val="0"/>
        <w:i w:val="0"/>
        <w:color w:val="808080" w:themeColor="background1" w:themeShade="80"/>
        <w:sz w:val="20"/>
        <w:szCs w:val="20"/>
      </w:rPr>
    </w:pPr>
    <w:r>
      <w:rPr>
        <w:rStyle w:val="IntenseEmphasis"/>
        <w:rFonts w:asciiTheme="majorHAnsi" w:hAnsiTheme="majorHAnsi"/>
        <w:b w:val="0"/>
        <w:i w:val="0"/>
        <w:color w:val="808080" w:themeColor="background1" w:themeShade="80"/>
        <w:sz w:val="20"/>
        <w:szCs w:val="20"/>
      </w:rPr>
      <w:t xml:space="preserve">Cases where Justice Initiative acted as sole or co-counsel are listed in </w:t>
    </w:r>
    <w:r>
      <w:rPr>
        <w:rStyle w:val="IntenseEmphasis"/>
        <w:rFonts w:asciiTheme="majorHAnsi" w:hAnsiTheme="majorHAnsi"/>
        <w:i w:val="0"/>
        <w:color w:val="808080" w:themeColor="background1" w:themeShade="80"/>
        <w:sz w:val="20"/>
        <w:szCs w:val="20"/>
      </w:rPr>
      <w:t>bold</w:t>
    </w:r>
    <w:r>
      <w:rPr>
        <w:rStyle w:val="IntenseEmphasis"/>
        <w:rFonts w:asciiTheme="majorHAnsi" w:hAnsiTheme="majorHAnsi"/>
        <w:b w:val="0"/>
        <w:i w:val="0"/>
        <w:color w:val="808080" w:themeColor="background1" w:themeShade="80"/>
        <w:sz w:val="20"/>
        <w:szCs w:val="20"/>
      </w:rPr>
      <w:t xml:space="preserve"> (other cases were amicus or third party interventions)</w:t>
    </w:r>
  </w:p>
  <w:p w14:paraId="1321A2F9" w14:textId="77777777" w:rsidR="00DC58D5" w:rsidRDefault="00DC58D5" w:rsidP="00187963">
    <w:pPr>
      <w:spacing w:after="0" w:line="240" w:lineRule="auto"/>
      <w:rPr>
        <w:rStyle w:val="IntenseEmphasis"/>
        <w:rFonts w:asciiTheme="majorHAnsi" w:hAnsiTheme="majorHAnsi"/>
        <w:b w:val="0"/>
        <w:i w:val="0"/>
        <w:color w:val="808080" w:themeColor="background1" w:themeShade="80"/>
        <w:sz w:val="20"/>
        <w:szCs w:val="20"/>
      </w:rPr>
    </w:pPr>
    <w:r>
      <w:rPr>
        <w:rStyle w:val="IntenseEmphasis"/>
        <w:rFonts w:asciiTheme="majorHAnsi" w:hAnsiTheme="majorHAnsi"/>
        <w:b w:val="0"/>
        <w:i w:val="0"/>
        <w:color w:val="808080" w:themeColor="background1" w:themeShade="80"/>
        <w:sz w:val="20"/>
        <w:szCs w:val="20"/>
      </w:rPr>
      <w:t>“Amount” is the sum total spent on component elements of the intervention for the duration listed</w:t>
    </w:r>
  </w:p>
  <w:p w14:paraId="0C75F5D7" w14:textId="77777777" w:rsidR="00DC58D5" w:rsidRDefault="00DC58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FC1B16" w14:textId="77777777" w:rsidR="003736DC" w:rsidRDefault="003736DC" w:rsidP="006A0160">
      <w:pPr>
        <w:spacing w:after="0" w:line="240" w:lineRule="auto"/>
      </w:pPr>
      <w:r>
        <w:separator/>
      </w:r>
    </w:p>
  </w:footnote>
  <w:footnote w:type="continuationSeparator" w:id="0">
    <w:p w14:paraId="7C05CBE5" w14:textId="77777777" w:rsidR="003736DC" w:rsidRDefault="003736DC" w:rsidP="006A0160">
      <w:pPr>
        <w:spacing w:after="0" w:line="240" w:lineRule="auto"/>
      </w:pPr>
      <w:r>
        <w:continuationSeparator/>
      </w:r>
    </w:p>
  </w:footnote>
  <w:footnote w:id="1">
    <w:p w14:paraId="65F239F3" w14:textId="77777777" w:rsidR="00DC58D5" w:rsidRPr="00FC4279" w:rsidRDefault="00DC58D5">
      <w:pPr>
        <w:pStyle w:val="FootnoteText"/>
        <w:rPr>
          <w:rFonts w:asciiTheme="majorHAnsi" w:hAnsiTheme="majorHAnsi"/>
        </w:rPr>
      </w:pPr>
      <w:r w:rsidRPr="00FC4279">
        <w:rPr>
          <w:rStyle w:val="FootnoteReference"/>
          <w:rFonts w:asciiTheme="majorHAnsi" w:hAnsiTheme="majorHAnsi"/>
        </w:rPr>
        <w:footnoteRef/>
      </w:r>
      <w:r w:rsidRPr="00FC4279">
        <w:rPr>
          <w:rFonts w:asciiTheme="majorHAnsi" w:hAnsiTheme="majorHAnsi"/>
        </w:rPr>
        <w:t xml:space="preserve"> Dates are approximate and reflect </w:t>
      </w:r>
      <w:r>
        <w:rPr>
          <w:rFonts w:asciiTheme="majorHAnsi" w:hAnsiTheme="majorHAnsi"/>
        </w:rPr>
        <w:t>operational engagement and scoping activities as well as periods of spending</w:t>
      </w:r>
      <w:r w:rsidRPr="00FC4279">
        <w:rPr>
          <w:rFonts w:asciiTheme="majorHAnsi" w:hAnsiTheme="majorHAnsi"/>
        </w:rPr>
        <w:t>.</w:t>
      </w:r>
    </w:p>
  </w:footnote>
  <w:footnote w:id="2">
    <w:p w14:paraId="3ED1F818" w14:textId="3D3C085B" w:rsidR="00DC58D5" w:rsidRPr="00E97965" w:rsidRDefault="00DC58D5">
      <w:pPr>
        <w:pStyle w:val="FootnoteText"/>
        <w:rPr>
          <w:rFonts w:asciiTheme="majorHAnsi" w:hAnsiTheme="majorHAnsi"/>
        </w:rPr>
      </w:pPr>
      <w:r w:rsidRPr="00E97965">
        <w:rPr>
          <w:rStyle w:val="FootnoteReference"/>
          <w:rFonts w:asciiTheme="majorHAnsi" w:hAnsiTheme="majorHAnsi"/>
        </w:rPr>
        <w:footnoteRef/>
      </w:r>
      <w:r w:rsidRPr="00E97965">
        <w:rPr>
          <w:rFonts w:asciiTheme="majorHAnsi" w:hAnsiTheme="majorHAnsi"/>
        </w:rPr>
        <w:t xml:space="preserve"> All figures exclusive of translation</w:t>
      </w:r>
      <w:r>
        <w:rPr>
          <w:rFonts w:asciiTheme="majorHAnsi" w:hAnsiTheme="majorHAnsi"/>
        </w:rPr>
        <w:t>, printing</w:t>
      </w:r>
      <w:r w:rsidRPr="00E97965">
        <w:rPr>
          <w:rFonts w:asciiTheme="majorHAnsi" w:hAnsiTheme="majorHAnsi"/>
        </w:rPr>
        <w:t xml:space="preserve"> and mailing costs</w:t>
      </w:r>
      <w:r>
        <w:rPr>
          <w:rFonts w:asciiTheme="majorHAnsi" w:hAnsiTheme="majorHAnsi"/>
        </w:rPr>
        <w:t xml:space="preserve"> unless included in relevant grant budgets</w:t>
      </w:r>
      <w:r w:rsidRPr="00E97965">
        <w:rPr>
          <w:rFonts w:asciiTheme="majorHAnsi" w:hAnsiTheme="majorHAnsi"/>
        </w:rPr>
        <w:t>.</w:t>
      </w:r>
      <w:r>
        <w:rPr>
          <w:rFonts w:asciiTheme="majorHAnsi" w:hAnsiTheme="majorHAnsi"/>
        </w:rPr>
        <w:t xml:space="preserve"> </w:t>
      </w:r>
    </w:p>
  </w:footnote>
  <w:footnote w:id="3">
    <w:p w14:paraId="5B67403E" w14:textId="77777777" w:rsidR="00DC58D5" w:rsidRDefault="00DC58D5" w:rsidP="00C42B04">
      <w:pPr>
        <w:pStyle w:val="FootnoteText"/>
      </w:pPr>
      <w:r>
        <w:rPr>
          <w:rStyle w:val="FootnoteReference"/>
        </w:rPr>
        <w:footnoteRef/>
      </w:r>
      <w:r>
        <w:t xml:space="preserve"> </w:t>
      </w:r>
      <w:r>
        <w:rPr>
          <w:rFonts w:asciiTheme="majorHAnsi" w:hAnsiTheme="majorHAnsi"/>
        </w:rPr>
        <w:t xml:space="preserve">2005-08 </w:t>
      </w:r>
      <w:r w:rsidRPr="00C42B04">
        <w:rPr>
          <w:rFonts w:asciiTheme="majorHAnsi" w:hAnsiTheme="majorHAnsi"/>
        </w:rPr>
        <w:t>figures based on non-itemized spending reports.</w:t>
      </w:r>
    </w:p>
  </w:footnote>
  <w:footnote w:id="4">
    <w:p w14:paraId="08B01ACA" w14:textId="39C812DA" w:rsidR="00DC58D5" w:rsidRDefault="00DC58D5">
      <w:pPr>
        <w:pStyle w:val="FootnoteText"/>
      </w:pPr>
      <w:r>
        <w:rPr>
          <w:rStyle w:val="FootnoteReference"/>
        </w:rPr>
        <w:footnoteRef/>
      </w:r>
      <w:r>
        <w:t xml:space="preserve"> </w:t>
      </w:r>
      <w:r w:rsidRPr="00F15E86">
        <w:rPr>
          <w:rFonts w:asciiTheme="majorHAnsi" w:hAnsiTheme="majorHAnsi"/>
        </w:rPr>
        <w:t>Figures for Italy are exclusive of spending under OSIFE and OSEPI budgets.</w:t>
      </w:r>
    </w:p>
  </w:footnote>
  <w:footnote w:id="5">
    <w:p w14:paraId="18A60688" w14:textId="77777777" w:rsidR="00DC58D5" w:rsidRPr="005B066D" w:rsidRDefault="00DC58D5">
      <w:pPr>
        <w:pStyle w:val="FootnoteText"/>
        <w:rPr>
          <w:rFonts w:asciiTheme="majorHAnsi" w:hAnsiTheme="majorHAnsi"/>
        </w:rPr>
      </w:pPr>
      <w:r w:rsidRPr="005B066D">
        <w:rPr>
          <w:rStyle w:val="FootnoteReference"/>
          <w:rFonts w:asciiTheme="majorHAnsi" w:hAnsiTheme="majorHAnsi"/>
        </w:rPr>
        <w:footnoteRef/>
      </w:r>
      <w:r w:rsidRPr="005B066D">
        <w:rPr>
          <w:rFonts w:asciiTheme="majorHAnsi" w:hAnsiTheme="majorHAnsi"/>
        </w:rPr>
        <w:t xml:space="preserve"> This figure is an estimate based on the </w:t>
      </w:r>
      <w:r w:rsidRPr="009578B0">
        <w:rPr>
          <w:rFonts w:asciiTheme="majorHAnsi" w:hAnsiTheme="majorHAnsi"/>
          <w:i/>
        </w:rPr>
        <w:t>D.H.</w:t>
      </w:r>
      <w:r w:rsidRPr="005B066D">
        <w:rPr>
          <w:rFonts w:asciiTheme="majorHAnsi" w:hAnsiTheme="majorHAnsi"/>
        </w:rPr>
        <w:t xml:space="preserve"> Implementation portfolio review elements document, tabulating spending out of Justice Initiative budgets, but not necessarily the Antidiscrimination project budget.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359991" w14:textId="77777777" w:rsidR="00DC58D5" w:rsidRPr="00AD172A" w:rsidRDefault="00DC58D5" w:rsidP="00187963">
    <w:pPr>
      <w:pStyle w:val="Heading1"/>
    </w:pPr>
    <w:r w:rsidRPr="00AD172A">
      <w:t>Realization of Antidiscrimination Norms in Europe: Elements of the Portfolio</w:t>
    </w:r>
  </w:p>
  <w:p w14:paraId="02512DA4" w14:textId="77777777" w:rsidR="00DC58D5" w:rsidRPr="00E26BF4" w:rsidRDefault="00DC58D5" w:rsidP="00187963">
    <w:pPr>
      <w:rPr>
        <w:b/>
        <w:bCs/>
        <w:iCs/>
        <w:color w:val="808080" w:themeColor="background1" w:themeShade="80"/>
        <w:sz w:val="24"/>
        <w:szCs w:val="24"/>
      </w:rPr>
    </w:pPr>
    <w:r w:rsidRPr="00AD172A">
      <w:rPr>
        <w:rStyle w:val="IntenseEmphasis"/>
        <w:i w:val="0"/>
        <w:color w:val="808080" w:themeColor="background1" w:themeShade="80"/>
        <w:sz w:val="24"/>
        <w:szCs w:val="24"/>
      </w:rPr>
      <w:t>Open Society Justice Initiative, 2005-2015</w:t>
    </w:r>
  </w:p>
  <w:p w14:paraId="7F5097A9" w14:textId="77777777" w:rsidR="00DC58D5" w:rsidRDefault="00DC58D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hdrShapeDefaults>
    <o:shapedefaults v:ext="edit" spidmax="4097"/>
  </w:hdrShapeDefault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2A"/>
    <w:rsid w:val="00006B39"/>
    <w:rsid w:val="00015B0C"/>
    <w:rsid w:val="00026532"/>
    <w:rsid w:val="00056C56"/>
    <w:rsid w:val="000603D2"/>
    <w:rsid w:val="00067A7A"/>
    <w:rsid w:val="000827F4"/>
    <w:rsid w:val="000A57B4"/>
    <w:rsid w:val="00102314"/>
    <w:rsid w:val="00125FD2"/>
    <w:rsid w:val="0012635C"/>
    <w:rsid w:val="00140600"/>
    <w:rsid w:val="00145971"/>
    <w:rsid w:val="001471C2"/>
    <w:rsid w:val="00151F6E"/>
    <w:rsid w:val="001678CE"/>
    <w:rsid w:val="001721C1"/>
    <w:rsid w:val="00187963"/>
    <w:rsid w:val="00191CCC"/>
    <w:rsid w:val="00194C85"/>
    <w:rsid w:val="0019643B"/>
    <w:rsid w:val="001A0E39"/>
    <w:rsid w:val="001A1971"/>
    <w:rsid w:val="001A7978"/>
    <w:rsid w:val="001B3CCD"/>
    <w:rsid w:val="001E250C"/>
    <w:rsid w:val="001E51F9"/>
    <w:rsid w:val="00212D74"/>
    <w:rsid w:val="0022440E"/>
    <w:rsid w:val="00230F29"/>
    <w:rsid w:val="002432DE"/>
    <w:rsid w:val="002722BD"/>
    <w:rsid w:val="00276720"/>
    <w:rsid w:val="002A1A15"/>
    <w:rsid w:val="002C2F60"/>
    <w:rsid w:val="002E01A8"/>
    <w:rsid w:val="002E4F65"/>
    <w:rsid w:val="00317EC0"/>
    <w:rsid w:val="00330D9D"/>
    <w:rsid w:val="00343D24"/>
    <w:rsid w:val="0034423F"/>
    <w:rsid w:val="00355247"/>
    <w:rsid w:val="003641EE"/>
    <w:rsid w:val="003736DC"/>
    <w:rsid w:val="00374C3B"/>
    <w:rsid w:val="003B2328"/>
    <w:rsid w:val="003C1D3A"/>
    <w:rsid w:val="003F0806"/>
    <w:rsid w:val="00404BC4"/>
    <w:rsid w:val="00407186"/>
    <w:rsid w:val="0041624A"/>
    <w:rsid w:val="00494941"/>
    <w:rsid w:val="004A0700"/>
    <w:rsid w:val="004A4F87"/>
    <w:rsid w:val="004B2D8F"/>
    <w:rsid w:val="004C29BE"/>
    <w:rsid w:val="004E240B"/>
    <w:rsid w:val="00511D23"/>
    <w:rsid w:val="0051726D"/>
    <w:rsid w:val="00526A5D"/>
    <w:rsid w:val="00560193"/>
    <w:rsid w:val="00581CC0"/>
    <w:rsid w:val="00582FAF"/>
    <w:rsid w:val="00584DFE"/>
    <w:rsid w:val="005B066D"/>
    <w:rsid w:val="005C74FA"/>
    <w:rsid w:val="005D30A3"/>
    <w:rsid w:val="005D59EE"/>
    <w:rsid w:val="005E0583"/>
    <w:rsid w:val="005E5039"/>
    <w:rsid w:val="00622C39"/>
    <w:rsid w:val="00624B51"/>
    <w:rsid w:val="00635979"/>
    <w:rsid w:val="006579BD"/>
    <w:rsid w:val="0067596C"/>
    <w:rsid w:val="00677311"/>
    <w:rsid w:val="00695A96"/>
    <w:rsid w:val="006A0160"/>
    <w:rsid w:val="006A4666"/>
    <w:rsid w:val="006D5FC1"/>
    <w:rsid w:val="006D793A"/>
    <w:rsid w:val="006E2AC5"/>
    <w:rsid w:val="007147B7"/>
    <w:rsid w:val="00750388"/>
    <w:rsid w:val="00750FAC"/>
    <w:rsid w:val="00816920"/>
    <w:rsid w:val="00826EBE"/>
    <w:rsid w:val="008604D5"/>
    <w:rsid w:val="00864A80"/>
    <w:rsid w:val="0088464E"/>
    <w:rsid w:val="00887062"/>
    <w:rsid w:val="008E1A02"/>
    <w:rsid w:val="008E5416"/>
    <w:rsid w:val="008F0D87"/>
    <w:rsid w:val="009379DA"/>
    <w:rsid w:val="00937DFC"/>
    <w:rsid w:val="00953640"/>
    <w:rsid w:val="009578B0"/>
    <w:rsid w:val="00992DFE"/>
    <w:rsid w:val="009B1415"/>
    <w:rsid w:val="009C17BA"/>
    <w:rsid w:val="009D2450"/>
    <w:rsid w:val="009F423E"/>
    <w:rsid w:val="00A02FC9"/>
    <w:rsid w:val="00A05C7F"/>
    <w:rsid w:val="00A10E9F"/>
    <w:rsid w:val="00A20B67"/>
    <w:rsid w:val="00AA2FDD"/>
    <w:rsid w:val="00AB0387"/>
    <w:rsid w:val="00AB37CE"/>
    <w:rsid w:val="00AB628D"/>
    <w:rsid w:val="00AC438A"/>
    <w:rsid w:val="00AC445A"/>
    <w:rsid w:val="00AD172A"/>
    <w:rsid w:val="00AF2972"/>
    <w:rsid w:val="00B113EA"/>
    <w:rsid w:val="00B17B2B"/>
    <w:rsid w:val="00B43E78"/>
    <w:rsid w:val="00B90FCD"/>
    <w:rsid w:val="00BA0E95"/>
    <w:rsid w:val="00BA72AB"/>
    <w:rsid w:val="00BC7977"/>
    <w:rsid w:val="00C03498"/>
    <w:rsid w:val="00C42B04"/>
    <w:rsid w:val="00C60A67"/>
    <w:rsid w:val="00C92117"/>
    <w:rsid w:val="00CB5F12"/>
    <w:rsid w:val="00CB67A4"/>
    <w:rsid w:val="00CD5BCB"/>
    <w:rsid w:val="00CE7011"/>
    <w:rsid w:val="00D13015"/>
    <w:rsid w:val="00D35AC0"/>
    <w:rsid w:val="00D66D7D"/>
    <w:rsid w:val="00D9611E"/>
    <w:rsid w:val="00DB7E36"/>
    <w:rsid w:val="00DC58D5"/>
    <w:rsid w:val="00DC656E"/>
    <w:rsid w:val="00DD4CD1"/>
    <w:rsid w:val="00DE2F10"/>
    <w:rsid w:val="00DF4215"/>
    <w:rsid w:val="00E039F1"/>
    <w:rsid w:val="00E2007D"/>
    <w:rsid w:val="00E26BF4"/>
    <w:rsid w:val="00E302DA"/>
    <w:rsid w:val="00E51528"/>
    <w:rsid w:val="00E97965"/>
    <w:rsid w:val="00ED071A"/>
    <w:rsid w:val="00F15E86"/>
    <w:rsid w:val="00F90036"/>
    <w:rsid w:val="00FC42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6209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D17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D172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D172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D172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D17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D172A"/>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AD172A"/>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AD172A"/>
    <w:rPr>
      <w:rFonts w:asciiTheme="majorHAnsi" w:eastAsiaTheme="majorEastAsia" w:hAnsiTheme="majorHAnsi" w:cstheme="majorBidi"/>
      <w:b/>
      <w:bCs/>
      <w:color w:val="4F81BD" w:themeColor="accent1"/>
    </w:rPr>
  </w:style>
  <w:style w:type="table" w:styleId="ColorfulGrid-Accent1">
    <w:name w:val="Colorful Grid Accent 1"/>
    <w:basedOn w:val="TableNormal"/>
    <w:uiPriority w:val="73"/>
    <w:rsid w:val="00AD172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List-Accent1">
    <w:name w:val="Colorful List Accent 1"/>
    <w:basedOn w:val="TableNormal"/>
    <w:uiPriority w:val="72"/>
    <w:rsid w:val="00AD172A"/>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NoSpacing">
    <w:name w:val="No Spacing"/>
    <w:uiPriority w:val="1"/>
    <w:qFormat/>
    <w:rsid w:val="00AD172A"/>
    <w:pPr>
      <w:spacing w:after="0" w:line="240" w:lineRule="auto"/>
    </w:pPr>
  </w:style>
  <w:style w:type="character" w:customStyle="1" w:styleId="Heading4Char">
    <w:name w:val="Heading 4 Char"/>
    <w:basedOn w:val="DefaultParagraphFont"/>
    <w:link w:val="Heading4"/>
    <w:uiPriority w:val="9"/>
    <w:rsid w:val="00AD172A"/>
    <w:rPr>
      <w:rFonts w:asciiTheme="majorHAnsi" w:eastAsiaTheme="majorEastAsia" w:hAnsiTheme="majorHAnsi" w:cstheme="majorBidi"/>
      <w:b/>
      <w:bCs/>
      <w:i/>
      <w:iCs/>
      <w:color w:val="4F81BD" w:themeColor="accent1"/>
    </w:rPr>
  </w:style>
  <w:style w:type="character" w:styleId="SubtleEmphasis">
    <w:name w:val="Subtle Emphasis"/>
    <w:basedOn w:val="DefaultParagraphFont"/>
    <w:uiPriority w:val="19"/>
    <w:qFormat/>
    <w:rsid w:val="00AD172A"/>
    <w:rPr>
      <w:i/>
      <w:iCs/>
      <w:color w:val="808080" w:themeColor="text1" w:themeTint="7F"/>
    </w:rPr>
  </w:style>
  <w:style w:type="character" w:styleId="Emphasis">
    <w:name w:val="Emphasis"/>
    <w:basedOn w:val="DefaultParagraphFont"/>
    <w:uiPriority w:val="20"/>
    <w:qFormat/>
    <w:rsid w:val="00AD172A"/>
    <w:rPr>
      <w:i/>
      <w:iCs/>
    </w:rPr>
  </w:style>
  <w:style w:type="character" w:styleId="IntenseEmphasis">
    <w:name w:val="Intense Emphasis"/>
    <w:basedOn w:val="DefaultParagraphFont"/>
    <w:uiPriority w:val="21"/>
    <w:qFormat/>
    <w:rsid w:val="00AD172A"/>
    <w:rPr>
      <w:b/>
      <w:bCs/>
      <w:i/>
      <w:iCs/>
      <w:color w:val="4F81BD" w:themeColor="accent1"/>
    </w:rPr>
  </w:style>
  <w:style w:type="character" w:styleId="Hyperlink">
    <w:name w:val="Hyperlink"/>
    <w:basedOn w:val="DefaultParagraphFont"/>
    <w:uiPriority w:val="99"/>
    <w:unhideWhenUsed/>
    <w:rsid w:val="00AD172A"/>
    <w:rPr>
      <w:color w:val="0000FF" w:themeColor="hyperlink"/>
      <w:u w:val="single"/>
    </w:rPr>
  </w:style>
  <w:style w:type="character" w:styleId="FollowedHyperlink">
    <w:name w:val="FollowedHyperlink"/>
    <w:basedOn w:val="DefaultParagraphFont"/>
    <w:uiPriority w:val="99"/>
    <w:semiHidden/>
    <w:unhideWhenUsed/>
    <w:rsid w:val="006A0160"/>
    <w:rPr>
      <w:color w:val="800080" w:themeColor="followedHyperlink"/>
      <w:u w:val="single"/>
    </w:rPr>
  </w:style>
  <w:style w:type="paragraph" w:styleId="Header">
    <w:name w:val="header"/>
    <w:basedOn w:val="Normal"/>
    <w:link w:val="HeaderChar"/>
    <w:uiPriority w:val="99"/>
    <w:unhideWhenUsed/>
    <w:rsid w:val="006A01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0160"/>
  </w:style>
  <w:style w:type="paragraph" w:styleId="Footer">
    <w:name w:val="footer"/>
    <w:basedOn w:val="Normal"/>
    <w:link w:val="FooterChar"/>
    <w:uiPriority w:val="99"/>
    <w:unhideWhenUsed/>
    <w:rsid w:val="006A01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0160"/>
  </w:style>
  <w:style w:type="paragraph" w:styleId="FootnoteText">
    <w:name w:val="footnote text"/>
    <w:basedOn w:val="Normal"/>
    <w:link w:val="FootnoteTextChar"/>
    <w:uiPriority w:val="99"/>
    <w:unhideWhenUsed/>
    <w:rsid w:val="0034423F"/>
    <w:pPr>
      <w:spacing w:after="0" w:line="240" w:lineRule="auto"/>
    </w:pPr>
    <w:rPr>
      <w:sz w:val="20"/>
      <w:szCs w:val="20"/>
    </w:rPr>
  </w:style>
  <w:style w:type="character" w:customStyle="1" w:styleId="FootnoteTextChar">
    <w:name w:val="Footnote Text Char"/>
    <w:basedOn w:val="DefaultParagraphFont"/>
    <w:link w:val="FootnoteText"/>
    <w:uiPriority w:val="99"/>
    <w:rsid w:val="0034423F"/>
    <w:rPr>
      <w:sz w:val="20"/>
      <w:szCs w:val="20"/>
    </w:rPr>
  </w:style>
  <w:style w:type="character" w:styleId="FootnoteReference">
    <w:name w:val="footnote reference"/>
    <w:basedOn w:val="DefaultParagraphFont"/>
    <w:uiPriority w:val="99"/>
    <w:unhideWhenUsed/>
    <w:rsid w:val="0034423F"/>
    <w:rPr>
      <w:vertAlign w:val="superscript"/>
    </w:rPr>
  </w:style>
  <w:style w:type="character" w:styleId="CommentReference">
    <w:name w:val="annotation reference"/>
    <w:basedOn w:val="DefaultParagraphFont"/>
    <w:uiPriority w:val="99"/>
    <w:semiHidden/>
    <w:unhideWhenUsed/>
    <w:rsid w:val="00953640"/>
    <w:rPr>
      <w:sz w:val="16"/>
      <w:szCs w:val="16"/>
    </w:rPr>
  </w:style>
  <w:style w:type="paragraph" w:styleId="CommentText">
    <w:name w:val="annotation text"/>
    <w:basedOn w:val="Normal"/>
    <w:link w:val="CommentTextChar"/>
    <w:uiPriority w:val="99"/>
    <w:semiHidden/>
    <w:unhideWhenUsed/>
    <w:rsid w:val="00953640"/>
    <w:pPr>
      <w:spacing w:line="240" w:lineRule="auto"/>
    </w:pPr>
    <w:rPr>
      <w:sz w:val="20"/>
      <w:szCs w:val="20"/>
    </w:rPr>
  </w:style>
  <w:style w:type="character" w:customStyle="1" w:styleId="CommentTextChar">
    <w:name w:val="Comment Text Char"/>
    <w:basedOn w:val="DefaultParagraphFont"/>
    <w:link w:val="CommentText"/>
    <w:uiPriority w:val="99"/>
    <w:semiHidden/>
    <w:rsid w:val="00953640"/>
    <w:rPr>
      <w:sz w:val="20"/>
      <w:szCs w:val="20"/>
    </w:rPr>
  </w:style>
  <w:style w:type="paragraph" w:styleId="CommentSubject">
    <w:name w:val="annotation subject"/>
    <w:basedOn w:val="CommentText"/>
    <w:next w:val="CommentText"/>
    <w:link w:val="CommentSubjectChar"/>
    <w:uiPriority w:val="99"/>
    <w:semiHidden/>
    <w:unhideWhenUsed/>
    <w:rsid w:val="00953640"/>
    <w:rPr>
      <w:b/>
      <w:bCs/>
    </w:rPr>
  </w:style>
  <w:style w:type="character" w:customStyle="1" w:styleId="CommentSubjectChar">
    <w:name w:val="Comment Subject Char"/>
    <w:basedOn w:val="CommentTextChar"/>
    <w:link w:val="CommentSubject"/>
    <w:uiPriority w:val="99"/>
    <w:semiHidden/>
    <w:rsid w:val="00953640"/>
    <w:rPr>
      <w:b/>
      <w:bCs/>
      <w:sz w:val="20"/>
      <w:szCs w:val="20"/>
    </w:rPr>
  </w:style>
  <w:style w:type="paragraph" w:styleId="BalloonText">
    <w:name w:val="Balloon Text"/>
    <w:basedOn w:val="Normal"/>
    <w:link w:val="BalloonTextChar"/>
    <w:uiPriority w:val="99"/>
    <w:semiHidden/>
    <w:unhideWhenUsed/>
    <w:rsid w:val="009536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364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D17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D172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D172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D172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D17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D172A"/>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AD172A"/>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AD172A"/>
    <w:rPr>
      <w:rFonts w:asciiTheme="majorHAnsi" w:eastAsiaTheme="majorEastAsia" w:hAnsiTheme="majorHAnsi" w:cstheme="majorBidi"/>
      <w:b/>
      <w:bCs/>
      <w:color w:val="4F81BD" w:themeColor="accent1"/>
    </w:rPr>
  </w:style>
  <w:style w:type="table" w:styleId="ColorfulGrid-Accent1">
    <w:name w:val="Colorful Grid Accent 1"/>
    <w:basedOn w:val="TableNormal"/>
    <w:uiPriority w:val="73"/>
    <w:rsid w:val="00AD172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List-Accent1">
    <w:name w:val="Colorful List Accent 1"/>
    <w:basedOn w:val="TableNormal"/>
    <w:uiPriority w:val="72"/>
    <w:rsid w:val="00AD172A"/>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NoSpacing">
    <w:name w:val="No Spacing"/>
    <w:uiPriority w:val="1"/>
    <w:qFormat/>
    <w:rsid w:val="00AD172A"/>
    <w:pPr>
      <w:spacing w:after="0" w:line="240" w:lineRule="auto"/>
    </w:pPr>
  </w:style>
  <w:style w:type="character" w:customStyle="1" w:styleId="Heading4Char">
    <w:name w:val="Heading 4 Char"/>
    <w:basedOn w:val="DefaultParagraphFont"/>
    <w:link w:val="Heading4"/>
    <w:uiPriority w:val="9"/>
    <w:rsid w:val="00AD172A"/>
    <w:rPr>
      <w:rFonts w:asciiTheme="majorHAnsi" w:eastAsiaTheme="majorEastAsia" w:hAnsiTheme="majorHAnsi" w:cstheme="majorBidi"/>
      <w:b/>
      <w:bCs/>
      <w:i/>
      <w:iCs/>
      <w:color w:val="4F81BD" w:themeColor="accent1"/>
    </w:rPr>
  </w:style>
  <w:style w:type="character" w:styleId="SubtleEmphasis">
    <w:name w:val="Subtle Emphasis"/>
    <w:basedOn w:val="DefaultParagraphFont"/>
    <w:uiPriority w:val="19"/>
    <w:qFormat/>
    <w:rsid w:val="00AD172A"/>
    <w:rPr>
      <w:i/>
      <w:iCs/>
      <w:color w:val="808080" w:themeColor="text1" w:themeTint="7F"/>
    </w:rPr>
  </w:style>
  <w:style w:type="character" w:styleId="Emphasis">
    <w:name w:val="Emphasis"/>
    <w:basedOn w:val="DefaultParagraphFont"/>
    <w:uiPriority w:val="20"/>
    <w:qFormat/>
    <w:rsid w:val="00AD172A"/>
    <w:rPr>
      <w:i/>
      <w:iCs/>
    </w:rPr>
  </w:style>
  <w:style w:type="character" w:styleId="IntenseEmphasis">
    <w:name w:val="Intense Emphasis"/>
    <w:basedOn w:val="DefaultParagraphFont"/>
    <w:uiPriority w:val="21"/>
    <w:qFormat/>
    <w:rsid w:val="00AD172A"/>
    <w:rPr>
      <w:b/>
      <w:bCs/>
      <w:i/>
      <w:iCs/>
      <w:color w:val="4F81BD" w:themeColor="accent1"/>
    </w:rPr>
  </w:style>
  <w:style w:type="character" w:styleId="Hyperlink">
    <w:name w:val="Hyperlink"/>
    <w:basedOn w:val="DefaultParagraphFont"/>
    <w:uiPriority w:val="99"/>
    <w:unhideWhenUsed/>
    <w:rsid w:val="00AD172A"/>
    <w:rPr>
      <w:color w:val="0000FF" w:themeColor="hyperlink"/>
      <w:u w:val="single"/>
    </w:rPr>
  </w:style>
  <w:style w:type="character" w:styleId="FollowedHyperlink">
    <w:name w:val="FollowedHyperlink"/>
    <w:basedOn w:val="DefaultParagraphFont"/>
    <w:uiPriority w:val="99"/>
    <w:semiHidden/>
    <w:unhideWhenUsed/>
    <w:rsid w:val="006A0160"/>
    <w:rPr>
      <w:color w:val="800080" w:themeColor="followedHyperlink"/>
      <w:u w:val="single"/>
    </w:rPr>
  </w:style>
  <w:style w:type="paragraph" w:styleId="Header">
    <w:name w:val="header"/>
    <w:basedOn w:val="Normal"/>
    <w:link w:val="HeaderChar"/>
    <w:uiPriority w:val="99"/>
    <w:unhideWhenUsed/>
    <w:rsid w:val="006A01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0160"/>
  </w:style>
  <w:style w:type="paragraph" w:styleId="Footer">
    <w:name w:val="footer"/>
    <w:basedOn w:val="Normal"/>
    <w:link w:val="FooterChar"/>
    <w:uiPriority w:val="99"/>
    <w:unhideWhenUsed/>
    <w:rsid w:val="006A01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0160"/>
  </w:style>
  <w:style w:type="paragraph" w:styleId="FootnoteText">
    <w:name w:val="footnote text"/>
    <w:basedOn w:val="Normal"/>
    <w:link w:val="FootnoteTextChar"/>
    <w:uiPriority w:val="99"/>
    <w:unhideWhenUsed/>
    <w:rsid w:val="0034423F"/>
    <w:pPr>
      <w:spacing w:after="0" w:line="240" w:lineRule="auto"/>
    </w:pPr>
    <w:rPr>
      <w:sz w:val="20"/>
      <w:szCs w:val="20"/>
    </w:rPr>
  </w:style>
  <w:style w:type="character" w:customStyle="1" w:styleId="FootnoteTextChar">
    <w:name w:val="Footnote Text Char"/>
    <w:basedOn w:val="DefaultParagraphFont"/>
    <w:link w:val="FootnoteText"/>
    <w:uiPriority w:val="99"/>
    <w:rsid w:val="0034423F"/>
    <w:rPr>
      <w:sz w:val="20"/>
      <w:szCs w:val="20"/>
    </w:rPr>
  </w:style>
  <w:style w:type="character" w:styleId="FootnoteReference">
    <w:name w:val="footnote reference"/>
    <w:basedOn w:val="DefaultParagraphFont"/>
    <w:uiPriority w:val="99"/>
    <w:unhideWhenUsed/>
    <w:rsid w:val="0034423F"/>
    <w:rPr>
      <w:vertAlign w:val="superscript"/>
    </w:rPr>
  </w:style>
  <w:style w:type="character" w:styleId="CommentReference">
    <w:name w:val="annotation reference"/>
    <w:basedOn w:val="DefaultParagraphFont"/>
    <w:uiPriority w:val="99"/>
    <w:semiHidden/>
    <w:unhideWhenUsed/>
    <w:rsid w:val="00953640"/>
    <w:rPr>
      <w:sz w:val="16"/>
      <w:szCs w:val="16"/>
    </w:rPr>
  </w:style>
  <w:style w:type="paragraph" w:styleId="CommentText">
    <w:name w:val="annotation text"/>
    <w:basedOn w:val="Normal"/>
    <w:link w:val="CommentTextChar"/>
    <w:uiPriority w:val="99"/>
    <w:semiHidden/>
    <w:unhideWhenUsed/>
    <w:rsid w:val="00953640"/>
    <w:pPr>
      <w:spacing w:line="240" w:lineRule="auto"/>
    </w:pPr>
    <w:rPr>
      <w:sz w:val="20"/>
      <w:szCs w:val="20"/>
    </w:rPr>
  </w:style>
  <w:style w:type="character" w:customStyle="1" w:styleId="CommentTextChar">
    <w:name w:val="Comment Text Char"/>
    <w:basedOn w:val="DefaultParagraphFont"/>
    <w:link w:val="CommentText"/>
    <w:uiPriority w:val="99"/>
    <w:semiHidden/>
    <w:rsid w:val="00953640"/>
    <w:rPr>
      <w:sz w:val="20"/>
      <w:szCs w:val="20"/>
    </w:rPr>
  </w:style>
  <w:style w:type="paragraph" w:styleId="CommentSubject">
    <w:name w:val="annotation subject"/>
    <w:basedOn w:val="CommentText"/>
    <w:next w:val="CommentText"/>
    <w:link w:val="CommentSubjectChar"/>
    <w:uiPriority w:val="99"/>
    <w:semiHidden/>
    <w:unhideWhenUsed/>
    <w:rsid w:val="00953640"/>
    <w:rPr>
      <w:b/>
      <w:bCs/>
    </w:rPr>
  </w:style>
  <w:style w:type="character" w:customStyle="1" w:styleId="CommentSubjectChar">
    <w:name w:val="Comment Subject Char"/>
    <w:basedOn w:val="CommentTextChar"/>
    <w:link w:val="CommentSubject"/>
    <w:uiPriority w:val="99"/>
    <w:semiHidden/>
    <w:rsid w:val="00953640"/>
    <w:rPr>
      <w:b/>
      <w:bCs/>
      <w:sz w:val="20"/>
      <w:szCs w:val="20"/>
    </w:rPr>
  </w:style>
  <w:style w:type="paragraph" w:styleId="BalloonText">
    <w:name w:val="Balloon Text"/>
    <w:basedOn w:val="Normal"/>
    <w:link w:val="BalloonTextChar"/>
    <w:uiPriority w:val="99"/>
    <w:semiHidden/>
    <w:unhideWhenUsed/>
    <w:rsid w:val="009536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36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177826">
      <w:bodyDiv w:val="1"/>
      <w:marLeft w:val="0"/>
      <w:marRight w:val="0"/>
      <w:marTop w:val="0"/>
      <w:marBottom w:val="0"/>
      <w:divBdr>
        <w:top w:val="none" w:sz="0" w:space="0" w:color="auto"/>
        <w:left w:val="none" w:sz="0" w:space="0" w:color="auto"/>
        <w:bottom w:val="none" w:sz="0" w:space="0" w:color="auto"/>
        <w:right w:val="none" w:sz="0" w:space="0" w:color="auto"/>
      </w:divBdr>
    </w:div>
    <w:div w:id="865172491">
      <w:bodyDiv w:val="1"/>
      <w:marLeft w:val="0"/>
      <w:marRight w:val="0"/>
      <w:marTop w:val="0"/>
      <w:marBottom w:val="0"/>
      <w:divBdr>
        <w:top w:val="none" w:sz="0" w:space="0" w:color="auto"/>
        <w:left w:val="none" w:sz="0" w:space="0" w:color="auto"/>
        <w:bottom w:val="none" w:sz="0" w:space="0" w:color="auto"/>
        <w:right w:val="none" w:sz="0" w:space="0" w:color="auto"/>
      </w:divBdr>
    </w:div>
    <w:div w:id="1053118833">
      <w:bodyDiv w:val="1"/>
      <w:marLeft w:val="0"/>
      <w:marRight w:val="0"/>
      <w:marTop w:val="0"/>
      <w:marBottom w:val="0"/>
      <w:divBdr>
        <w:top w:val="none" w:sz="0" w:space="0" w:color="auto"/>
        <w:left w:val="none" w:sz="0" w:space="0" w:color="auto"/>
        <w:bottom w:val="none" w:sz="0" w:space="0" w:color="auto"/>
        <w:right w:val="none" w:sz="0" w:space="0" w:color="auto"/>
      </w:divBdr>
    </w:div>
    <w:div w:id="1087774632">
      <w:bodyDiv w:val="1"/>
      <w:marLeft w:val="0"/>
      <w:marRight w:val="0"/>
      <w:marTop w:val="0"/>
      <w:marBottom w:val="0"/>
      <w:divBdr>
        <w:top w:val="none" w:sz="0" w:space="0" w:color="auto"/>
        <w:left w:val="none" w:sz="0" w:space="0" w:color="auto"/>
        <w:bottom w:val="none" w:sz="0" w:space="0" w:color="auto"/>
        <w:right w:val="none" w:sz="0" w:space="0" w:color="auto"/>
      </w:divBdr>
    </w:div>
    <w:div w:id="1344236555">
      <w:bodyDiv w:val="1"/>
      <w:marLeft w:val="0"/>
      <w:marRight w:val="0"/>
      <w:marTop w:val="0"/>
      <w:marBottom w:val="0"/>
      <w:divBdr>
        <w:top w:val="none" w:sz="0" w:space="0" w:color="auto"/>
        <w:left w:val="none" w:sz="0" w:space="0" w:color="auto"/>
        <w:bottom w:val="none" w:sz="0" w:space="0" w:color="auto"/>
        <w:right w:val="none" w:sz="0" w:space="0" w:color="auto"/>
      </w:divBdr>
    </w:div>
    <w:div w:id="1370489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opensocietyfoundations.org/litigation/bagdonavichus-v-russia" TargetMode="External"/><Relationship Id="rId18" Type="http://schemas.openxmlformats.org/officeDocument/2006/relationships/hyperlink" Target="http://www.opensocietyfoundations.org/litigation/sas-v-france" TargetMode="External"/><Relationship Id="rId26" Type="http://schemas.openxmlformats.org/officeDocument/2006/relationships/hyperlink" Target="https://karl.soros.org/communities/strategy-unit/files/results-assessment/portfolio-reviews/2015-materials-from-presidential-portfolio-reviews-documents-for-internal-use-only/open-society-initiative-for-europe-osife-ethnic-profiling-in-europe-april-1-2015/" TargetMode="External"/><Relationship Id="rId39" Type="http://schemas.openxmlformats.org/officeDocument/2006/relationships/hyperlink" Target="http://www.opensocietyfoundations.org/voices/german-schools-quiet-deep-discrimination-problem" TargetMode="External"/><Relationship Id="rId21" Type="http://schemas.openxmlformats.org/officeDocument/2006/relationships/hyperlink" Target="http://www.opensocietyfoundations.org/sites/default/files/after-the-ban-experience-full-face-veil-france-20140210.pdf" TargetMode="External"/><Relationship Id="rId34" Type="http://schemas.openxmlformats.org/officeDocument/2006/relationships/hyperlink" Target="https://myapplications.my.salesforce.com/006d0000009HOHP?srPos=2&amp;srKp=006" TargetMode="External"/><Relationship Id="rId42" Type="http://schemas.openxmlformats.org/officeDocument/2006/relationships/hyperlink" Target="https://karl.soros.org/communities/justice-initiative-administration/files/internal-meetings/2014/february-2014/portfolio-reviews/germany-portfolio-review-memo-feb-2014-final.docx/" TargetMode="External"/><Relationship Id="rId47" Type="http://schemas.openxmlformats.org/officeDocument/2006/relationships/hyperlink" Target="http://www.opensocietyfoundations.org/litigation/ec-v-italy" TargetMode="External"/><Relationship Id="rId50" Type="http://schemas.openxmlformats.org/officeDocument/2006/relationships/hyperlink" Target="https://osf.box.com/s/ht0cyi7ill4tv7ihjsj50f3yu7o0rha5" TargetMode="External"/><Relationship Id="rId55"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opensocietyfoundations.org/litigation/mikhaj-and-others-v-russia" TargetMode="External"/><Relationship Id="rId17" Type="http://schemas.openxmlformats.org/officeDocument/2006/relationships/hyperlink" Target="http://www.opensocietyfoundations.org/voices/case-watch-eu-courts-legal-adviser-assesses-roma-discrimination-case" TargetMode="External"/><Relationship Id="rId25" Type="http://schemas.openxmlformats.org/officeDocument/2006/relationships/hyperlink" Target="http://www.opensocietyfoundations.org/reports/profiling-minorities-study-stop-and-search-practices-paris" TargetMode="External"/><Relationship Id="rId33" Type="http://schemas.openxmlformats.org/officeDocument/2006/relationships/hyperlink" Target="https://karl.soros.org/communities/justice-initiative-administration/files/board/2014/2014-march-27-28/7.4.3-elements-for-the-germany-portfolio-review.docx/" TargetMode="External"/><Relationship Id="rId38" Type="http://schemas.openxmlformats.org/officeDocument/2006/relationships/hyperlink" Target="http://www.opensocietyfoundations.org/reports/standing-equality-germanys-schools" TargetMode="External"/><Relationship Id="rId46" Type="http://schemas.openxmlformats.org/officeDocument/2006/relationships/hyperlink" Target="http://www.opensocietyfoundations.org/briefing-papers/submission-committee-elimination-racial-discrimination-italy" TargetMode="External"/><Relationship Id="rId2" Type="http://schemas.openxmlformats.org/officeDocument/2006/relationships/styles" Target="styles.xml"/><Relationship Id="rId16" Type="http://schemas.openxmlformats.org/officeDocument/2006/relationships/hyperlink" Target="http://www.opensocietyfoundations.org/voices/case-watch-inaccessible-electricity-meters-roma-challenged-under-eu-law" TargetMode="External"/><Relationship Id="rId20" Type="http://schemas.openxmlformats.org/officeDocument/2006/relationships/hyperlink" Target="http://www.opensocietyfoundations.org/briefing-papers/france-s-veil-ban-european-court-human-rights" TargetMode="External"/><Relationship Id="rId29" Type="http://schemas.openxmlformats.org/officeDocument/2006/relationships/hyperlink" Target="http://www.opensocietyfoundations.org/litigation/y-t-v-berlin-education-authority" TargetMode="External"/><Relationship Id="rId41" Type="http://schemas.openxmlformats.org/officeDocument/2006/relationships/hyperlink" Target="http://www.opensocietyfoundations.org/briefing-papers/submission-universal-periodic-review-review-germany"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pensocietyfoundations.org/litigation/makhashev-v-russia" TargetMode="External"/><Relationship Id="rId24" Type="http://schemas.openxmlformats.org/officeDocument/2006/relationships/hyperlink" Target="http://www.opensocietyfoundations.org/press-releases/paris-court-accepts-appeal-french-police-ethnic-profiling-case" TargetMode="External"/><Relationship Id="rId32" Type="http://schemas.openxmlformats.org/officeDocument/2006/relationships/hyperlink" Target="https://karl.soros.org/communities/justice-initiative-administration/files/internal-meetings/2014/february-2014/portfolio-reviews/germany-portfolio-review-memo-feb-2014-final.docx/" TargetMode="External"/><Relationship Id="rId37" Type="http://schemas.openxmlformats.org/officeDocument/2006/relationships/hyperlink" Target="http://www.opensocietyfoundations.org/fact-sheets/discrimination-german-schools" TargetMode="External"/><Relationship Id="rId40" Type="http://schemas.openxmlformats.org/officeDocument/2006/relationships/hyperlink" Target="http://www.opensocietyfoundations.org/briefing-papers/submission-un-human-rights-committee-review-germany" TargetMode="External"/><Relationship Id="rId45" Type="http://schemas.openxmlformats.org/officeDocument/2006/relationships/hyperlink" Target="http://www.opensocietyfoundations.org/litigation/salkanovic-v-ministry-interior-italy" TargetMode="External"/><Relationship Id="rId53"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opensocietyfoundations.org/litigation/nikolova-v-cez-electricity" TargetMode="External"/><Relationship Id="rId23" Type="http://schemas.openxmlformats.org/officeDocument/2006/relationships/hyperlink" Target="https://myapplications.my.salesforce.com/006d00000075JEB?srPos=1&amp;srKp=006" TargetMode="External"/><Relationship Id="rId28" Type="http://schemas.openxmlformats.org/officeDocument/2006/relationships/hyperlink" Target="http://www.opensocietyfoundations.org/litigation/german-headscarves-ban" TargetMode="External"/><Relationship Id="rId36" Type="http://schemas.openxmlformats.org/officeDocument/2006/relationships/hyperlink" Target="http://www.opensocietyfoundations.org/briefing-papers/discrimination-german-schools-questions-answers" TargetMode="External"/><Relationship Id="rId49" Type="http://schemas.openxmlformats.org/officeDocument/2006/relationships/hyperlink" Target="http://www.opensocietyfoundations.org/litigation/dh-and-others-v-czech-republic" TargetMode="External"/><Relationship Id="rId57" Type="http://schemas.openxmlformats.org/officeDocument/2006/relationships/theme" Target="theme/theme1.xml"/><Relationship Id="rId10" Type="http://schemas.openxmlformats.org/officeDocument/2006/relationships/hyperlink" Target="http://www.opensocietyfoundations.org/reports/combating-discrimination-russia-strategies-lawyers-and-ngos" TargetMode="External"/><Relationship Id="rId19" Type="http://schemas.openxmlformats.org/officeDocument/2006/relationships/hyperlink" Target="http://www.opensocietyfoundations.org/voices/case-watch-echr-says-living-together-justifies-ban-full-face-veils" TargetMode="External"/><Relationship Id="rId31" Type="http://schemas.openxmlformats.org/officeDocument/2006/relationships/hyperlink" Target="https://myapplications.my.salesforce.com/006d0000008IuFK?srPos=1&amp;srKp=006" TargetMode="External"/><Relationship Id="rId44" Type="http://schemas.openxmlformats.org/officeDocument/2006/relationships/hyperlink" Target="http://www.opensocietyfoundations.org/litigation/ouardiri-v-switzerland" TargetMode="External"/><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yapplications.my.salesforce.com/006d00000075IY9?srPos=5&amp;srKp=006" TargetMode="External"/><Relationship Id="rId14" Type="http://schemas.openxmlformats.org/officeDocument/2006/relationships/hyperlink" Target="http://www.opensocietyfoundations.org/reports/ethnic-profiling-moscow-metro" TargetMode="External"/><Relationship Id="rId22" Type="http://schemas.openxmlformats.org/officeDocument/2006/relationships/hyperlink" Target="http://www.opensocietyfoundations.org/litigation/challenging-discriminatory-police-ethnic-profiling-france" TargetMode="External"/><Relationship Id="rId27" Type="http://schemas.openxmlformats.org/officeDocument/2006/relationships/hyperlink" Target="http://www.opensocietyfoundations.org/reports/profiling-minorities-study-stop-and-search-practices-paris" TargetMode="External"/><Relationship Id="rId30" Type="http://schemas.openxmlformats.org/officeDocument/2006/relationships/hyperlink" Target="https://myapplications.my.salesforce.com/006d00000075IvT?srPos=15&amp;srKp=006&amp;srS=1" TargetMode="External"/><Relationship Id="rId35" Type="http://schemas.openxmlformats.org/officeDocument/2006/relationships/hyperlink" Target="https://myapplications.my.salesforce.com/006d000000Ncfx6?srPos=0&amp;srKp=006" TargetMode="External"/><Relationship Id="rId43" Type="http://schemas.openxmlformats.org/officeDocument/2006/relationships/hyperlink" Target="https://karl.soros.org/communities/justice-initiative-administration/files/board/2014/2014-march-27-28/7.4.3-elements-for-the-germany-portfolio-review.docx/" TargetMode="External"/><Relationship Id="rId48" Type="http://schemas.openxmlformats.org/officeDocument/2006/relationships/hyperlink" Target="http://www.opensocietyfoundations.org/litigation/omerovic-and-others-v-italy" TargetMode="External"/><Relationship Id="rId56" Type="http://schemas.openxmlformats.org/officeDocument/2006/relationships/fontTable" Target="fontTable.xml"/><Relationship Id="rId8" Type="http://schemas.openxmlformats.org/officeDocument/2006/relationships/hyperlink" Target="http://www.opensocietyfoundations.org/litigation/timishev-v-russia" TargetMode="External"/><Relationship Id="rId51" Type="http://schemas.openxmlformats.org/officeDocument/2006/relationships/hyperlink" Target="http://www.opensocietyfoundations.org/voices/no-equality-without-data" TargetMode="Externa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3F2E68-E9E6-4BE8-8C8F-503ECEF9E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2631</Words>
  <Characters>15003</Characters>
  <Application>Microsoft Office Word</Application>
  <DocSecurity>4</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17599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Bingham</dc:creator>
  <cp:lastModifiedBy>Daphne Panayotatos</cp:lastModifiedBy>
  <cp:revision>2</cp:revision>
  <dcterms:created xsi:type="dcterms:W3CDTF">2015-07-30T15:28:00Z</dcterms:created>
  <dcterms:modified xsi:type="dcterms:W3CDTF">2015-07-30T15:28:00Z</dcterms:modified>
</cp:coreProperties>
</file>